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D5979" w14:textId="70818F69" w:rsidR="009C522F" w:rsidRDefault="002A0A11" w:rsidP="00FC656B">
      <w:pPr>
        <w:spacing w:after="0"/>
        <w:rPr>
          <w:b/>
          <w:sz w:val="24"/>
          <w:szCs w:val="24"/>
        </w:rPr>
      </w:pPr>
      <w:r>
        <w:rPr>
          <w:noProof/>
        </w:rPr>
        <w:drawing>
          <wp:inline distT="0" distB="0" distL="0" distR="0" wp14:anchorId="2FB1B93B" wp14:editId="501BDA6F">
            <wp:extent cx="2066928" cy="587373"/>
            <wp:effectExtent l="0" t="0" r="9522" b="3177"/>
            <wp:docPr id="5" name="Imagen 5" descr="/Users/patronatoturismo/Desktop/image00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066928" cy="587373"/>
                    </a:xfrm>
                    <a:prstGeom prst="rect">
                      <a:avLst/>
                    </a:prstGeom>
                    <a:noFill/>
                    <a:ln>
                      <a:noFill/>
                      <a:prstDash/>
                    </a:ln>
                  </pic:spPr>
                </pic:pic>
              </a:graphicData>
            </a:graphic>
          </wp:inline>
        </w:drawing>
      </w:r>
      <w:r w:rsidR="00FC656B">
        <w:rPr>
          <w:b/>
          <w:sz w:val="24"/>
          <w:szCs w:val="24"/>
        </w:rPr>
        <w:t xml:space="preserve">                        </w:t>
      </w:r>
      <w:bookmarkStart w:id="0" w:name="_GoBack"/>
      <w:bookmarkEnd w:id="0"/>
    </w:p>
    <w:p w14:paraId="3567A828" w14:textId="1950670C" w:rsidR="00FC656B" w:rsidRPr="00FC656B" w:rsidRDefault="00FC656B" w:rsidP="00FC656B">
      <w:pPr>
        <w:spacing w:after="0"/>
        <w:jc w:val="right"/>
        <w:rPr>
          <w:b/>
          <w:color w:val="A6A6A6" w:themeColor="background1" w:themeShade="A6"/>
          <w:sz w:val="20"/>
          <w:szCs w:val="20"/>
        </w:rPr>
      </w:pPr>
      <w:r w:rsidRPr="00FC656B">
        <w:rPr>
          <w:b/>
          <w:color w:val="A6A6A6" w:themeColor="background1" w:themeShade="A6"/>
          <w:sz w:val="20"/>
          <w:szCs w:val="20"/>
        </w:rPr>
        <w:t>Información actualizada a noviembre 2025.</w:t>
      </w:r>
    </w:p>
    <w:p w14:paraId="7182AD1B" w14:textId="3D37EAEE" w:rsidR="002A0A11" w:rsidRDefault="002A0A11" w:rsidP="009C522F">
      <w:pPr>
        <w:spacing w:after="0"/>
        <w:jc w:val="both"/>
        <w:rPr>
          <w:b/>
          <w:sz w:val="24"/>
          <w:szCs w:val="24"/>
        </w:rPr>
      </w:pPr>
    </w:p>
    <w:p w14:paraId="100CAF3D" w14:textId="3E6C105C" w:rsidR="009C6627" w:rsidRPr="009C6627" w:rsidRDefault="009C6627" w:rsidP="009C6627">
      <w:pPr>
        <w:pStyle w:val="Prrafodelista"/>
        <w:numPr>
          <w:ilvl w:val="0"/>
          <w:numId w:val="1"/>
        </w:numPr>
        <w:spacing w:after="120"/>
        <w:ind w:left="357" w:hanging="357"/>
        <w:contextualSpacing w:val="0"/>
        <w:rPr>
          <w:b/>
        </w:rPr>
      </w:pPr>
      <w:r w:rsidRPr="009C6627">
        <w:rPr>
          <w:b/>
        </w:rPr>
        <w:t>DOMICILIO.</w:t>
      </w:r>
    </w:p>
    <w:p w14:paraId="79C1A075" w14:textId="3F2A85F1" w:rsidR="002A0A11" w:rsidRDefault="009C6627" w:rsidP="009C6627">
      <w:pPr>
        <w:spacing w:after="0" w:line="276" w:lineRule="auto"/>
        <w:jc w:val="both"/>
      </w:pPr>
      <w:r>
        <w:t>Según lo establecido en el artículo 3.2 de los Estatutos del Patronato de Turismo de Fuerteventura:</w:t>
      </w:r>
    </w:p>
    <w:p w14:paraId="5E9A707F" w14:textId="77777777" w:rsidR="001D1FCA" w:rsidRDefault="009C6627" w:rsidP="001D1FCA">
      <w:pPr>
        <w:spacing w:after="0" w:line="276" w:lineRule="auto"/>
        <w:jc w:val="both"/>
      </w:pPr>
      <w:r>
        <w:t>“2. Su domicilio se fija en Puerto del Rosario, en la sede del Cabildo, sita en Carretera Los Estancos, sin número, anexo Parque Tecnológico Fuerteventura, pudiendo modificarse, y en su caso, establecer delegaciones en cualquier punto de la isla de Fuerteventura.”</w:t>
      </w:r>
    </w:p>
    <w:p w14:paraId="10944DAA" w14:textId="77777777" w:rsidR="001D1FCA" w:rsidRDefault="001D1FCA" w:rsidP="001D1FCA">
      <w:pPr>
        <w:spacing w:after="0" w:line="276" w:lineRule="auto"/>
        <w:jc w:val="both"/>
        <w:rPr>
          <w:b/>
        </w:rPr>
      </w:pPr>
    </w:p>
    <w:p w14:paraId="5688A86F" w14:textId="55EFC2AE" w:rsidR="001D1FCA" w:rsidRPr="001D1FCA" w:rsidRDefault="009C6627" w:rsidP="001D1FCA">
      <w:pPr>
        <w:pStyle w:val="Prrafodelista"/>
        <w:numPr>
          <w:ilvl w:val="0"/>
          <w:numId w:val="1"/>
        </w:numPr>
        <w:spacing w:after="120" w:line="276" w:lineRule="auto"/>
        <w:ind w:left="357" w:hanging="357"/>
        <w:contextualSpacing w:val="0"/>
        <w:jc w:val="both"/>
        <w:rPr>
          <w:b/>
        </w:rPr>
      </w:pPr>
      <w:r w:rsidRPr="001D1FCA">
        <w:rPr>
          <w:b/>
        </w:rPr>
        <w:t>PERSONALIDADA JURÍDICA</w:t>
      </w:r>
      <w:r w:rsidRPr="001D1FCA">
        <w:rPr>
          <w:b/>
        </w:rPr>
        <w:t>.</w:t>
      </w:r>
    </w:p>
    <w:p w14:paraId="11CB9831" w14:textId="4DD1504A" w:rsidR="009C6627" w:rsidRPr="001D1FCA" w:rsidRDefault="009C6627" w:rsidP="001D1FCA">
      <w:pPr>
        <w:spacing w:after="120" w:line="276" w:lineRule="auto"/>
        <w:jc w:val="both"/>
        <w:rPr>
          <w:b/>
        </w:rPr>
      </w:pPr>
      <w:r w:rsidRPr="001D1FCA">
        <w:rPr>
          <w:rFonts w:eastAsia="Times New Roman" w:cstheme="minorHAnsi"/>
          <w:b/>
          <w:bCs/>
          <w:color w:val="000000"/>
          <w:lang w:eastAsia="es-ES"/>
        </w:rPr>
        <w:t>1567. Boletín Oficial de la Provincia de Las Palmas, Número 54, viernes 03 de mayo de 2024</w:t>
      </w:r>
      <w:r w:rsidR="001D1FCA">
        <w:rPr>
          <w:rFonts w:eastAsia="Times New Roman" w:cstheme="minorHAnsi"/>
          <w:b/>
          <w:bCs/>
          <w:color w:val="000000"/>
          <w:lang w:eastAsia="es-ES"/>
        </w:rPr>
        <w:t>.</w:t>
      </w:r>
    </w:p>
    <w:p w14:paraId="4A9A4A3F" w14:textId="77777777"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9C6627">
        <w:rPr>
          <w:rFonts w:eastAsia="Times New Roman" w:cstheme="minorHAnsi"/>
          <w:color w:val="000000"/>
          <w:lang w:eastAsia="es-ES"/>
        </w:rPr>
        <w:t>Estatutos del Patronato de Turismo de Fuerteventura.</w:t>
      </w:r>
    </w:p>
    <w:p w14:paraId="1C1F2071" w14:textId="652C54B7"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b/>
          <w:bCs/>
          <w:color w:val="000000"/>
          <w:lang w:eastAsia="es-ES"/>
        </w:rPr>
        <w:t>Personalidad Jurídica</w:t>
      </w:r>
      <w:r w:rsidR="001D1FCA">
        <w:rPr>
          <w:rFonts w:eastAsia="Times New Roman" w:cstheme="minorHAnsi"/>
          <w:b/>
          <w:bCs/>
          <w:color w:val="000000"/>
          <w:lang w:eastAsia="es-ES"/>
        </w:rPr>
        <w:t>.</w:t>
      </w:r>
    </w:p>
    <w:p w14:paraId="712C4273" w14:textId="168617CA"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b/>
          <w:bCs/>
          <w:color w:val="000000"/>
          <w:lang w:eastAsia="es-ES"/>
        </w:rPr>
        <w:t>CAPÍTULO I. NATURALEZA Y FUNCIONES</w:t>
      </w:r>
      <w:r w:rsidR="001D1FCA">
        <w:rPr>
          <w:rFonts w:eastAsia="Times New Roman" w:cstheme="minorHAnsi"/>
          <w:b/>
          <w:bCs/>
          <w:color w:val="000000"/>
          <w:lang w:eastAsia="es-ES"/>
        </w:rPr>
        <w:t>.</w:t>
      </w:r>
    </w:p>
    <w:p w14:paraId="49FE26D8" w14:textId="77777777"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b/>
          <w:bCs/>
          <w:color w:val="000000"/>
          <w:lang w:eastAsia="es-ES"/>
        </w:rPr>
        <w:t>Artículo 1. Denominación, naturaleza y capacidad.</w:t>
      </w:r>
    </w:p>
    <w:p w14:paraId="36250A0E" w14:textId="61390559" w:rsidR="009C6627" w:rsidRPr="009C6627" w:rsidRDefault="009C6627" w:rsidP="001D1FCA">
      <w:pPr>
        <w:shd w:val="clear" w:color="auto" w:fill="FFFFFF"/>
        <w:spacing w:after="0" w:line="276" w:lineRule="auto"/>
        <w:jc w:val="both"/>
        <w:rPr>
          <w:rFonts w:eastAsia="Times New Roman" w:cstheme="minorHAnsi"/>
          <w:color w:val="000000"/>
          <w:lang w:eastAsia="es-ES"/>
        </w:rPr>
      </w:pPr>
      <w:r w:rsidRPr="009C6627">
        <w:rPr>
          <w:rFonts w:eastAsia="Times New Roman" w:cstheme="minorHAnsi"/>
          <w:color w:val="000000"/>
          <w:lang w:eastAsia="es-ES"/>
        </w:rPr>
        <w:t>1. El Cabildo Insular de Fuerteventura, al amparo de lo dispuesto en el artículo 36.1 d) en relación con el 4.1.1 y 85 bis de la Ley 7/1985, de 2 de abril, Reguladora de las Bases del Régimen Local; así como artículo 6.2.f) de la Ley 8/2015, de 1 de abril, de Cabildos Insulares en relación con el artículo 70 de la Ley Orgánica 1/2018, de 18 noviembre, de reforma del Estatuto de Autonomía de Canarias y Ley 7/1995, de ordenación del Turismo de Canarias, constituye, como sistema de gestión directa de servicios atribuidos al Cabildo, el PATRONATO DE TURISMO DE FUERTEVEN-TURA O.A., que tendrá la condición de organismo autónomo Local, dotado de personalidad jurídica pública diferenciada, patrimonio y tesorería propios, así como autonomía de gestión, en los términos previstos en la Ley 40/2015, de 1 de octubre, de régimen jurídico del sector público en cuanto le resulte de aplicación con las especialidades establecidas en la legislación básica de régimen local.</w:t>
      </w:r>
    </w:p>
    <w:p w14:paraId="5A9F924F" w14:textId="36BCB418" w:rsidR="001D1FCA" w:rsidRPr="009C6627" w:rsidRDefault="009C6627" w:rsidP="001D1FCA">
      <w:pPr>
        <w:shd w:val="clear" w:color="auto" w:fill="FFFFFF"/>
        <w:spacing w:after="120" w:line="276" w:lineRule="auto"/>
        <w:jc w:val="both"/>
        <w:rPr>
          <w:rFonts w:eastAsia="Times New Roman" w:cstheme="minorHAnsi"/>
          <w:color w:val="000000"/>
          <w:lang w:eastAsia="es-ES"/>
        </w:rPr>
      </w:pPr>
      <w:r w:rsidRPr="009C6627">
        <w:rPr>
          <w:rFonts w:eastAsia="Times New Roman" w:cstheme="minorHAnsi"/>
          <w:color w:val="000000"/>
          <w:lang w:eastAsia="es-ES"/>
        </w:rPr>
        <w:t>2. Sin perjuicio de lo anterior, a los efectos previstos en el artículo 85 bis de la Ley 7/1985, de 2 de abril, Reguladora de las Bases de Régimen Local y demás legislación que resulte de aplicación, el organismo autónomo Patronato de Turismo de Fuerteventura queda adscrito a la Presidencia del Cabildo de Fuerteventura.</w:t>
      </w:r>
    </w:p>
    <w:p w14:paraId="7840826E" w14:textId="77777777" w:rsidR="009C6627" w:rsidRPr="009C6627" w:rsidRDefault="009C6627"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b/>
          <w:bCs/>
          <w:color w:val="000000"/>
          <w:lang w:eastAsia="es-ES"/>
        </w:rPr>
        <w:t>Artículo 2. Régimen Jurídico.</w:t>
      </w:r>
    </w:p>
    <w:p w14:paraId="5DD8BD48" w14:textId="4A57A4D5" w:rsidR="009C6627" w:rsidRPr="009C6627" w:rsidRDefault="009C6627" w:rsidP="001D1FCA">
      <w:pPr>
        <w:shd w:val="clear" w:color="auto" w:fill="FFFFFF"/>
        <w:spacing w:after="100" w:afterAutospacing="1" w:line="276" w:lineRule="auto"/>
        <w:jc w:val="both"/>
        <w:rPr>
          <w:rFonts w:eastAsia="Times New Roman" w:cstheme="minorHAnsi"/>
          <w:color w:val="000000"/>
          <w:lang w:eastAsia="es-ES"/>
        </w:rPr>
      </w:pPr>
      <w:r w:rsidRPr="009C6627">
        <w:rPr>
          <w:rFonts w:eastAsia="Times New Roman" w:cstheme="minorHAnsi"/>
          <w:color w:val="000000"/>
          <w:lang w:eastAsia="es-ES"/>
        </w:rPr>
        <w:t>El Patronato de Turismo de Fuerteventura, como entidad de derecho público, se regirá por lo dispuesto en la legislación en materia de régimen local además de lo previsto en los presentes Estatutos, siendo de aplicación en lo no previsto lo dispuesto en la Ley 40/2015, de 1 de octubre, de Régimen Jurídico del Sector Público, así como el resto de las Normas de Derecho Administrativo General y Especial que le sea de aplicación. En defecto de Norma Administrativa, se aplicará el Derecho Común.</w:t>
      </w:r>
    </w:p>
    <w:p w14:paraId="66238120" w14:textId="7B1DA78D" w:rsidR="002A0A11" w:rsidRDefault="002A0A11" w:rsidP="009C6627">
      <w:pPr>
        <w:spacing w:after="0" w:line="276" w:lineRule="auto"/>
        <w:jc w:val="both"/>
        <w:rPr>
          <w:b/>
          <w:sz w:val="24"/>
          <w:szCs w:val="24"/>
        </w:rPr>
      </w:pPr>
    </w:p>
    <w:p w14:paraId="039DEFF9" w14:textId="5B86D501" w:rsidR="001D1FCA" w:rsidRPr="001D1FCA" w:rsidRDefault="001D1FCA" w:rsidP="001D1FCA">
      <w:pPr>
        <w:spacing w:after="120" w:line="276" w:lineRule="auto"/>
        <w:jc w:val="both"/>
        <w:rPr>
          <w:b/>
        </w:rPr>
      </w:pPr>
      <w:r w:rsidRPr="001D1FCA">
        <w:rPr>
          <w:b/>
        </w:rPr>
        <w:lastRenderedPageBreak/>
        <w:t>3. INFORMACIÓN HISTÓRICA, GEOGRÁFICA, SOCIAL, ECONÓMICA Y CULTURAL</w:t>
      </w:r>
      <w:r>
        <w:rPr>
          <w:b/>
        </w:rPr>
        <w:t>.</w:t>
      </w:r>
    </w:p>
    <w:p w14:paraId="5D0BCA32" w14:textId="26B2A95C" w:rsidR="001D1FCA" w:rsidRPr="001D1FCA" w:rsidRDefault="001D1FCA" w:rsidP="001D1FCA">
      <w:pPr>
        <w:shd w:val="clear" w:color="auto" w:fill="FFFFFF"/>
        <w:spacing w:after="120" w:line="240" w:lineRule="auto"/>
        <w:rPr>
          <w:rFonts w:eastAsia="Times New Roman" w:cstheme="minorHAnsi"/>
          <w:color w:val="000000"/>
          <w:lang w:eastAsia="es-ES"/>
        </w:rPr>
      </w:pPr>
      <w:r w:rsidRPr="001D1FCA">
        <w:rPr>
          <w:rFonts w:eastAsia="Times New Roman" w:cstheme="minorHAnsi"/>
          <w:b/>
          <w:bCs/>
          <w:color w:val="000000"/>
          <w:lang w:eastAsia="es-ES"/>
        </w:rPr>
        <w:t>INFORMACIÓN SOBRE EL PATRONATO DE TURISMO</w:t>
      </w:r>
      <w:r>
        <w:rPr>
          <w:rFonts w:eastAsia="Times New Roman" w:cstheme="minorHAnsi"/>
          <w:b/>
          <w:bCs/>
          <w:color w:val="000000"/>
          <w:lang w:eastAsia="es-ES"/>
        </w:rPr>
        <w:t>.</w:t>
      </w:r>
    </w:p>
    <w:p w14:paraId="2858B67C" w14:textId="55968F91" w:rsidR="001D1FCA" w:rsidRPr="001D1FCA" w:rsidRDefault="001D1FCA"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color w:val="000000"/>
          <w:lang w:eastAsia="es-ES"/>
        </w:rPr>
        <w:t>El Organismo Autónomo Patronato de Turismo de Fuerteventura se crea en el año 1.986,</w:t>
      </w:r>
      <w:r>
        <w:rPr>
          <w:rFonts w:eastAsia="Times New Roman" w:cstheme="minorHAnsi"/>
          <w:color w:val="000000"/>
          <w:lang w:eastAsia="es-ES"/>
        </w:rPr>
        <w:t xml:space="preserve"> </w:t>
      </w:r>
      <w:r w:rsidRPr="001D1FCA">
        <w:rPr>
          <w:rFonts w:eastAsia="Times New Roman" w:cstheme="minorHAnsi"/>
          <w:color w:val="000000"/>
          <w:lang w:eastAsia="es-ES"/>
        </w:rPr>
        <w:t>aprobándose sus primeros estatutos en sesión extraordinaria celebrada por el Pleno del Excmo. Cabildo Insular de Fuerteventura el día 19 de marzo de 1.986 con 8 votos a favor, 4 en contra y una abstención.</w:t>
      </w:r>
    </w:p>
    <w:p w14:paraId="6E5D701C" w14:textId="4E5AEFD1" w:rsidR="001D1FCA" w:rsidRPr="001D1FCA" w:rsidRDefault="001D1FCA" w:rsidP="001D1FCA">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color w:val="000000"/>
          <w:lang w:eastAsia="es-ES"/>
        </w:rPr>
        <w:t>El Patronato nace con el fin de desarrollar y coordinar el Turismo Insular de Fuerteventura y para</w:t>
      </w:r>
      <w:r>
        <w:rPr>
          <w:rFonts w:eastAsia="Times New Roman" w:cstheme="minorHAnsi"/>
          <w:color w:val="000000"/>
          <w:lang w:eastAsia="es-ES"/>
        </w:rPr>
        <w:t xml:space="preserve"> </w:t>
      </w:r>
      <w:r w:rsidRPr="001D1FCA">
        <w:rPr>
          <w:rFonts w:eastAsia="Times New Roman" w:cstheme="minorHAnsi"/>
          <w:color w:val="000000"/>
          <w:lang w:eastAsia="es-ES"/>
        </w:rPr>
        <w:t>ello se dota de plena competencia.</w:t>
      </w:r>
      <w:r>
        <w:rPr>
          <w:rFonts w:eastAsia="Times New Roman" w:cstheme="minorHAnsi"/>
          <w:color w:val="000000"/>
          <w:lang w:eastAsia="es-ES"/>
        </w:rPr>
        <w:t xml:space="preserve"> </w:t>
      </w:r>
      <w:r w:rsidRPr="001D1FCA">
        <w:rPr>
          <w:rFonts w:eastAsia="Times New Roman" w:cstheme="minorHAnsi"/>
          <w:color w:val="000000"/>
          <w:lang w:eastAsia="es-ES"/>
        </w:rPr>
        <w:t>Dentro de las funciones asignadas se encargaría de organizar actos encaminados a la atracción de Turismo, realizar acciones y gestiones en la isla o fuera de ella tendentes a mejorar la imagen turística, editar publicaciones de información turística, promover el estudio de la vida insular en orden turístico bien directamente o a través de los distintos Organismos especializados y concertar con ellos acciones de promoción y perfeccionamiento de cuantas profesiones se relacionan con el Turismo, ejecutando las acciones</w:t>
      </w:r>
      <w:r>
        <w:rPr>
          <w:rFonts w:eastAsia="Times New Roman" w:cstheme="minorHAnsi"/>
          <w:color w:val="000000"/>
          <w:lang w:eastAsia="es-ES"/>
        </w:rPr>
        <w:t xml:space="preserve"> </w:t>
      </w:r>
      <w:r w:rsidRPr="001D1FCA">
        <w:rPr>
          <w:rFonts w:eastAsia="Times New Roman" w:cstheme="minorHAnsi"/>
          <w:color w:val="000000"/>
          <w:lang w:eastAsia="es-ES"/>
        </w:rPr>
        <w:t>precisas para ello, realización y promoción de estudios turísticos.</w:t>
      </w:r>
      <w:r>
        <w:rPr>
          <w:rFonts w:eastAsia="Times New Roman" w:cstheme="minorHAnsi"/>
          <w:color w:val="000000"/>
          <w:lang w:eastAsia="es-ES"/>
        </w:rPr>
        <w:t xml:space="preserve"> </w:t>
      </w:r>
      <w:r w:rsidRPr="001D1FCA">
        <w:rPr>
          <w:rFonts w:eastAsia="Times New Roman" w:cstheme="minorHAnsi"/>
          <w:color w:val="000000"/>
          <w:lang w:eastAsia="es-ES"/>
        </w:rPr>
        <w:t>El Patronato de Turismo de Fuerteventura surge con la vocación de convertirse en un órgano insular vertebrador de cuantos asuntos relacionados con el turismo sean de interés para Fuerteventura.</w:t>
      </w:r>
    </w:p>
    <w:p w14:paraId="11A2E3CD" w14:textId="77777777" w:rsidR="001D1FCA" w:rsidRPr="001D1FCA" w:rsidRDefault="001D1FCA" w:rsidP="001D1FCA">
      <w:pPr>
        <w:shd w:val="clear" w:color="auto" w:fill="FFFFFF"/>
        <w:spacing w:after="120" w:line="276" w:lineRule="auto"/>
        <w:rPr>
          <w:rFonts w:eastAsia="Times New Roman" w:cstheme="minorHAnsi"/>
          <w:color w:val="000000"/>
          <w:lang w:eastAsia="es-ES"/>
        </w:rPr>
      </w:pPr>
      <w:r w:rsidRPr="001D1FCA">
        <w:rPr>
          <w:rFonts w:eastAsia="Times New Roman" w:cstheme="minorHAnsi"/>
          <w:b/>
          <w:bCs/>
          <w:color w:val="000000"/>
          <w:lang w:eastAsia="es-ES"/>
        </w:rPr>
        <w:t>INFORMACIÓN SOBRE FUERTEVENTURA.</w:t>
      </w:r>
    </w:p>
    <w:p w14:paraId="0BE39238" w14:textId="512A3E7B" w:rsidR="00340CA2" w:rsidRPr="00340CA2" w:rsidRDefault="001D1FCA" w:rsidP="00340CA2">
      <w:pPr>
        <w:shd w:val="clear" w:color="auto" w:fill="FFFFFF"/>
        <w:spacing w:after="120" w:line="276" w:lineRule="auto"/>
        <w:jc w:val="both"/>
        <w:rPr>
          <w:rFonts w:eastAsia="Times New Roman" w:cstheme="minorHAnsi"/>
          <w:color w:val="000000"/>
          <w:lang w:eastAsia="es-ES"/>
        </w:rPr>
      </w:pPr>
      <w:r w:rsidRPr="001D1FCA">
        <w:rPr>
          <w:rFonts w:eastAsia="Times New Roman" w:cstheme="minorHAnsi"/>
          <w:color w:val="000000"/>
          <w:lang w:eastAsia="es-ES"/>
        </w:rPr>
        <w:t>El nacimiento de Fuerteventura se remonta más de 30 millones de años atrás, con el inicio de las erupciones que construyeron los cimientos submarinos de la isla, que empezó a emerger a la superficie hace 23 millones de años, lo que la convierte en la isla más antigua del archipiélago canario. Desde entonces, prolongados procesos volcánicos y la erosión producida por los incesantes vientos alisios, han dado como resultado la estampa que hoy podemos admirar.</w:t>
      </w:r>
      <w:r w:rsidRPr="001D1FCA">
        <w:rPr>
          <w:rFonts w:eastAsia="Times New Roman" w:cstheme="minorHAnsi"/>
          <w:color w:val="000000"/>
          <w:lang w:eastAsia="es-ES"/>
        </w:rPr>
        <w:br/>
        <w:t>Fuerteventura pertenece administrativamente a la provincia de Las Palmas y junto con Lanzarote y La Graciosa, conforma el extremo oriental de Canarias.</w:t>
      </w:r>
    </w:p>
    <w:p w14:paraId="508C9EE9" w14:textId="51858F9E" w:rsidR="006C7591" w:rsidRPr="001D1FCA" w:rsidRDefault="00C025A0" w:rsidP="00340CA2">
      <w:pPr>
        <w:spacing w:before="120" w:after="120"/>
        <w:rPr>
          <w:b/>
        </w:rPr>
      </w:pPr>
      <w:r w:rsidRPr="001D1FCA">
        <w:rPr>
          <w:b/>
        </w:rPr>
        <w:t>P</w:t>
      </w:r>
      <w:r w:rsidR="001D1FCA">
        <w:rPr>
          <w:b/>
        </w:rPr>
        <w:t>oblación.</w:t>
      </w:r>
    </w:p>
    <w:p w14:paraId="56F9D172" w14:textId="079C8415" w:rsidR="000B234C" w:rsidRPr="000B234C" w:rsidRDefault="000B234C" w:rsidP="000B234C">
      <w:pPr>
        <w:jc w:val="both"/>
        <w:rPr>
          <w:rFonts w:cstheme="minorHAnsi"/>
          <w:color w:val="000000"/>
          <w:shd w:val="clear" w:color="auto" w:fill="FFFFFF"/>
        </w:rPr>
      </w:pPr>
      <w:r w:rsidRPr="000B234C">
        <w:rPr>
          <w:rFonts w:cstheme="minorHAnsi"/>
          <w:color w:val="000000"/>
          <w:shd w:val="clear" w:color="auto" w:fill="FFFFFF"/>
        </w:rPr>
        <w:t>La isla se compone de seis municipios, Puerto del Rosario (la capital), La Oliva, Antigua, Tuineje, Betancuria y Pájara.</w:t>
      </w:r>
    </w:p>
    <w:p w14:paraId="65BCF62E" w14:textId="77777777" w:rsidR="000B234C" w:rsidRDefault="006C7591" w:rsidP="000B234C">
      <w:pPr>
        <w:spacing w:after="120" w:line="276" w:lineRule="auto"/>
        <w:jc w:val="both"/>
        <w:rPr>
          <w:rFonts w:cstheme="minorHAnsi"/>
          <w:color w:val="000000"/>
          <w:shd w:val="clear" w:color="auto" w:fill="FFFFFF"/>
        </w:rPr>
      </w:pPr>
      <w:r w:rsidRPr="006C7591">
        <w:rPr>
          <w:rFonts w:cstheme="minorHAnsi"/>
          <w:color w:val="000000"/>
          <w:shd w:val="clear" w:color="auto" w:fill="FFFFFF"/>
        </w:rPr>
        <w:t>La población de Fuerteventura ha experimentado un aumento importante en los últimos 30 años. En el año 1.992 el censo de la isla contaba con 35.000 habitantes, siendo éste de 60.124 habitantes en el año 2.000 y totalizándose en 127.043 habitantes en el año 2024 de los cuales más del 38 % son extranjeros.</w:t>
      </w:r>
    </w:p>
    <w:p w14:paraId="12D39AC8" w14:textId="1D3D29E4" w:rsidR="006C7591" w:rsidRDefault="006C7591" w:rsidP="000B234C">
      <w:pPr>
        <w:spacing w:after="120" w:line="276" w:lineRule="auto"/>
        <w:jc w:val="both"/>
        <w:rPr>
          <w:rFonts w:cstheme="minorHAnsi"/>
          <w:color w:val="000000"/>
          <w:shd w:val="clear" w:color="auto" w:fill="FFFFFF"/>
        </w:rPr>
      </w:pPr>
      <w:r w:rsidRPr="006C7591">
        <w:rPr>
          <w:rFonts w:cstheme="minorHAnsi"/>
          <w:color w:val="000000"/>
          <w:shd w:val="clear" w:color="auto" w:fill="FFFFFF"/>
        </w:rPr>
        <w:t>En cuanto a la distribución poblacional por municipios es Puerto del Rosario, el municipio con mayor número de habitantes con 46.638, seguido de La Oliva con 29.693 habitantes, Pájara con 21.614, Tuineje 16.454, Antigua 13.832 habitantes y Betancuria con 812.</w:t>
      </w:r>
    </w:p>
    <w:p w14:paraId="1723C2DD" w14:textId="522D7943" w:rsidR="00C025A0" w:rsidRDefault="00C025A0" w:rsidP="006C7591">
      <w:pPr>
        <w:spacing w:after="0" w:line="276" w:lineRule="auto"/>
        <w:jc w:val="both"/>
        <w:rPr>
          <w:rFonts w:cstheme="minorHAnsi"/>
          <w:color w:val="000000"/>
          <w:shd w:val="clear" w:color="auto" w:fill="FFFFFF"/>
        </w:rPr>
      </w:pPr>
    </w:p>
    <w:p w14:paraId="3591E9E4" w14:textId="4D11D6A7" w:rsidR="000B234C" w:rsidRDefault="000B234C" w:rsidP="006C7591">
      <w:pPr>
        <w:spacing w:after="0" w:line="276" w:lineRule="auto"/>
        <w:jc w:val="both"/>
        <w:rPr>
          <w:rFonts w:cstheme="minorHAnsi"/>
          <w:color w:val="000000"/>
          <w:shd w:val="clear" w:color="auto" w:fill="FFFFFF"/>
        </w:rPr>
      </w:pPr>
      <w:r>
        <w:rPr>
          <w:noProof/>
        </w:rPr>
        <w:lastRenderedPageBreak/>
        <w:drawing>
          <wp:inline distT="0" distB="0" distL="0" distR="0" wp14:anchorId="135D3873" wp14:editId="7A4B58A2">
            <wp:extent cx="4572000" cy="2743200"/>
            <wp:effectExtent l="0" t="0" r="0" b="0"/>
            <wp:docPr id="1" name="Gráfico 1">
              <a:extLst xmlns:a="http://schemas.openxmlformats.org/drawingml/2006/main">
                <a:ext uri="{FF2B5EF4-FFF2-40B4-BE49-F238E27FC236}">
                  <a16:creationId xmlns:a16="http://schemas.microsoft.com/office/drawing/2014/main" id="{2EEB76FE-3AE1-4307-A9CB-58055A49E3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64A327" w14:textId="0A770D95" w:rsidR="000B234C" w:rsidRDefault="000B234C" w:rsidP="006C7591">
      <w:pPr>
        <w:spacing w:after="0" w:line="276" w:lineRule="auto"/>
        <w:jc w:val="both"/>
        <w:rPr>
          <w:rFonts w:cstheme="minorHAnsi"/>
          <w:color w:val="000000"/>
          <w:shd w:val="clear" w:color="auto" w:fill="FFFFFF"/>
        </w:rPr>
      </w:pPr>
    </w:p>
    <w:p w14:paraId="2B30D70B" w14:textId="77777777" w:rsidR="00340CA2" w:rsidRPr="001D1FCA" w:rsidRDefault="00340CA2" w:rsidP="00340CA2">
      <w:pPr>
        <w:spacing w:after="120"/>
        <w:rPr>
          <w:b/>
        </w:rPr>
      </w:pPr>
      <w:r w:rsidRPr="001D1FCA">
        <w:rPr>
          <w:b/>
        </w:rPr>
        <w:t>P</w:t>
      </w:r>
      <w:r>
        <w:rPr>
          <w:b/>
        </w:rPr>
        <w:t>oblación.</w:t>
      </w:r>
    </w:p>
    <w:p w14:paraId="149CAB86" w14:textId="77777777" w:rsidR="000B234C" w:rsidRDefault="000B234C" w:rsidP="00340CA2">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DD7802">
        <w:rPr>
          <w:rFonts w:asciiTheme="minorHAnsi" w:hAnsiTheme="minorHAnsi" w:cstheme="minorHAnsi"/>
          <w:color w:val="000000"/>
          <w:sz w:val="22"/>
          <w:szCs w:val="22"/>
        </w:rPr>
        <w:t>Fuerteventura tiene en el turismo el principal motor económico de la isla. En los últimos años se ha dotado de grandes complejos hoteleros y zonas turísticas que han dado un impulso notable al sector servicios, siendo las principales áreas turísticas los municipios de La Oliva, Pájara y Antigua.</w:t>
      </w:r>
      <w:r w:rsidRPr="00DD7802">
        <w:rPr>
          <w:rFonts w:asciiTheme="minorHAnsi" w:hAnsiTheme="minorHAnsi" w:cstheme="minorHAnsi"/>
          <w:color w:val="000000"/>
          <w:sz w:val="22"/>
          <w:szCs w:val="22"/>
        </w:rPr>
        <w:br/>
        <w:t>En la actualidad Fuerteventura ofrece un total de 59.6</w:t>
      </w:r>
      <w:r>
        <w:rPr>
          <w:rFonts w:asciiTheme="minorHAnsi" w:hAnsiTheme="minorHAnsi" w:cstheme="minorHAnsi"/>
          <w:color w:val="000000"/>
          <w:sz w:val="22"/>
          <w:szCs w:val="22"/>
        </w:rPr>
        <w:t>04</w:t>
      </w:r>
      <w:r w:rsidRPr="00DD7802">
        <w:rPr>
          <w:rFonts w:asciiTheme="minorHAnsi" w:hAnsiTheme="minorHAnsi" w:cstheme="minorHAnsi"/>
          <w:color w:val="000000"/>
          <w:sz w:val="22"/>
          <w:szCs w:val="22"/>
        </w:rPr>
        <w:t xml:space="preserve"> plazas alojativas (</w:t>
      </w:r>
      <w:r>
        <w:rPr>
          <w:rFonts w:asciiTheme="minorHAnsi" w:hAnsiTheme="minorHAnsi" w:cstheme="minorHAnsi"/>
          <w:color w:val="000000"/>
          <w:sz w:val="22"/>
          <w:szCs w:val="22"/>
        </w:rPr>
        <w:t>h</w:t>
      </w:r>
      <w:r w:rsidRPr="00DD7802">
        <w:rPr>
          <w:rFonts w:asciiTheme="minorHAnsi" w:hAnsiTheme="minorHAnsi" w:cstheme="minorHAnsi"/>
          <w:color w:val="000000"/>
          <w:sz w:val="22"/>
          <w:szCs w:val="22"/>
        </w:rPr>
        <w:t xml:space="preserve">oteleras y extrahoteleras), lo que representa el </w:t>
      </w:r>
      <w:r>
        <w:rPr>
          <w:rFonts w:asciiTheme="minorHAnsi" w:hAnsiTheme="minorHAnsi" w:cstheme="minorHAnsi"/>
          <w:color w:val="000000"/>
          <w:sz w:val="22"/>
          <w:szCs w:val="22"/>
        </w:rPr>
        <w:t>28,1</w:t>
      </w:r>
      <w:r w:rsidRPr="00DD7802">
        <w:rPr>
          <w:rFonts w:asciiTheme="minorHAnsi" w:hAnsiTheme="minorHAnsi" w:cstheme="minorHAnsi"/>
          <w:color w:val="000000"/>
          <w:sz w:val="22"/>
          <w:szCs w:val="22"/>
        </w:rPr>
        <w:t xml:space="preserve"> % de la oferta alojativa canaria</w:t>
      </w:r>
      <w:r>
        <w:rPr>
          <w:rFonts w:asciiTheme="minorHAnsi" w:hAnsiTheme="minorHAnsi" w:cstheme="minorHAnsi"/>
          <w:color w:val="000000"/>
          <w:sz w:val="22"/>
          <w:szCs w:val="22"/>
        </w:rPr>
        <w:t>.</w:t>
      </w:r>
    </w:p>
    <w:p w14:paraId="1157459D" w14:textId="5C1646B7" w:rsidR="000B234C" w:rsidRDefault="000B234C" w:rsidP="006C7591">
      <w:pPr>
        <w:spacing w:after="0" w:line="276" w:lineRule="auto"/>
        <w:jc w:val="both"/>
        <w:rPr>
          <w:rFonts w:cstheme="minorHAnsi"/>
          <w:color w:val="000000"/>
          <w:shd w:val="clear" w:color="auto" w:fill="FFFFFF"/>
        </w:rPr>
      </w:pPr>
    </w:p>
    <w:p w14:paraId="5BC6D829" w14:textId="765F75C2" w:rsidR="00C025A0" w:rsidRDefault="00C025A0" w:rsidP="006C7591">
      <w:pPr>
        <w:spacing w:after="0" w:line="276" w:lineRule="auto"/>
        <w:jc w:val="both"/>
        <w:rPr>
          <w:rFonts w:cstheme="minorHAnsi"/>
          <w:color w:val="000000"/>
          <w:shd w:val="clear" w:color="auto" w:fill="FFFFFF"/>
        </w:rPr>
      </w:pPr>
    </w:p>
    <w:p w14:paraId="47357DA6" w14:textId="520F8A77" w:rsidR="00C025A0" w:rsidRDefault="00DD7802" w:rsidP="006C7591">
      <w:pPr>
        <w:spacing w:after="0" w:line="276" w:lineRule="auto"/>
        <w:jc w:val="both"/>
        <w:rPr>
          <w:rFonts w:cstheme="minorHAnsi"/>
          <w:color w:val="000000"/>
          <w:shd w:val="clear" w:color="auto" w:fill="FFFFFF"/>
        </w:rPr>
      </w:pPr>
      <w:r>
        <w:rPr>
          <w:noProof/>
        </w:rPr>
        <w:drawing>
          <wp:inline distT="0" distB="0" distL="0" distR="0" wp14:anchorId="4474BB02" wp14:editId="781B8022">
            <wp:extent cx="4572000" cy="2743200"/>
            <wp:effectExtent l="0" t="0" r="9525" b="0"/>
            <wp:docPr id="2" name="Gráfico 2">
              <a:extLst xmlns:a="http://schemas.openxmlformats.org/drawingml/2006/main">
                <a:ext uri="{FF2B5EF4-FFF2-40B4-BE49-F238E27FC236}">
                  <a16:creationId xmlns:a16="http://schemas.microsoft.com/office/drawing/2014/main" id="{93391C98-4188-4182-B862-C87D2EA8C5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EFAA26" w14:textId="77777777" w:rsidR="00DD7802" w:rsidRDefault="00DD7802" w:rsidP="006C7591">
      <w:pPr>
        <w:spacing w:after="0" w:line="276" w:lineRule="auto"/>
        <w:jc w:val="both"/>
        <w:rPr>
          <w:rFonts w:cstheme="minorHAnsi"/>
          <w:color w:val="000000"/>
          <w:shd w:val="clear" w:color="auto" w:fill="FFFFFF"/>
        </w:rPr>
      </w:pPr>
    </w:p>
    <w:p w14:paraId="2AA95B29" w14:textId="35A7E68A" w:rsidR="002E67D4" w:rsidRDefault="002E67D4" w:rsidP="00DD7802">
      <w:pPr>
        <w:pStyle w:val="NormalWeb"/>
        <w:shd w:val="clear" w:color="auto" w:fill="FFFFFF"/>
        <w:rPr>
          <w:rStyle w:val="Textoennegrita"/>
          <w:rFonts w:ascii="Arial" w:hAnsi="Arial" w:cs="Arial"/>
          <w:color w:val="000000"/>
          <w:u w:val="single"/>
        </w:rPr>
      </w:pPr>
      <w:r>
        <w:rPr>
          <w:noProof/>
        </w:rPr>
        <w:lastRenderedPageBreak/>
        <w:drawing>
          <wp:inline distT="0" distB="0" distL="0" distR="0" wp14:anchorId="0543FB60" wp14:editId="1C0F510B">
            <wp:extent cx="4572000" cy="2743200"/>
            <wp:effectExtent l="0" t="0" r="0" b="0"/>
            <wp:docPr id="3" name="Gráfico 3">
              <a:extLst xmlns:a="http://schemas.openxmlformats.org/drawingml/2006/main">
                <a:ext uri="{FF2B5EF4-FFF2-40B4-BE49-F238E27FC236}">
                  <a16:creationId xmlns:a16="http://schemas.microsoft.com/office/drawing/2014/main" id="{07C5DC66-F8C5-48D8-AC0B-DB42FEBAC7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170AFC" w14:textId="77777777" w:rsid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p>
    <w:p w14:paraId="3243C9E4" w14:textId="5836BDAA" w:rsidR="000B234C" w:rsidRPr="000B234C" w:rsidRDefault="000B234C"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0B234C">
        <w:rPr>
          <w:rFonts w:asciiTheme="minorHAnsi" w:hAnsiTheme="minorHAnsi" w:cstheme="minorHAnsi"/>
          <w:color w:val="000000"/>
          <w:sz w:val="22"/>
          <w:szCs w:val="22"/>
        </w:rPr>
        <w:t xml:space="preserve">Por procedencia, Alemania se sitúa como el país emisor más destacado en cuanto a número de turistas se refiere, con cerca de </w:t>
      </w:r>
      <w:r>
        <w:rPr>
          <w:rFonts w:asciiTheme="minorHAnsi" w:hAnsiTheme="minorHAnsi" w:cstheme="minorHAnsi"/>
          <w:color w:val="000000"/>
          <w:sz w:val="22"/>
          <w:szCs w:val="22"/>
        </w:rPr>
        <w:t>801.497</w:t>
      </w:r>
      <w:r w:rsidRPr="000B234C">
        <w:rPr>
          <w:rFonts w:asciiTheme="minorHAnsi" w:hAnsiTheme="minorHAnsi" w:cstheme="minorHAnsi"/>
          <w:color w:val="000000"/>
          <w:sz w:val="22"/>
          <w:szCs w:val="22"/>
        </w:rPr>
        <w:t xml:space="preserve"> en el último censo del año 202</w:t>
      </w:r>
      <w:r>
        <w:rPr>
          <w:rFonts w:asciiTheme="minorHAnsi" w:hAnsiTheme="minorHAnsi" w:cstheme="minorHAnsi"/>
          <w:color w:val="000000"/>
          <w:sz w:val="22"/>
          <w:szCs w:val="22"/>
        </w:rPr>
        <w:t>4</w:t>
      </w:r>
      <w:r w:rsidRPr="000B234C">
        <w:rPr>
          <w:rFonts w:asciiTheme="minorHAnsi" w:hAnsiTheme="minorHAnsi" w:cstheme="minorHAnsi"/>
          <w:color w:val="000000"/>
          <w:sz w:val="22"/>
          <w:szCs w:val="22"/>
        </w:rPr>
        <w:t xml:space="preserve">, seguido de Reino Unido con </w:t>
      </w:r>
      <w:r>
        <w:rPr>
          <w:rFonts w:asciiTheme="minorHAnsi" w:hAnsiTheme="minorHAnsi" w:cstheme="minorHAnsi"/>
          <w:color w:val="000000"/>
          <w:sz w:val="22"/>
          <w:szCs w:val="22"/>
        </w:rPr>
        <w:t>784.691</w:t>
      </w:r>
      <w:r w:rsidRPr="000B234C">
        <w:rPr>
          <w:rFonts w:asciiTheme="minorHAnsi" w:hAnsiTheme="minorHAnsi" w:cstheme="minorHAnsi"/>
          <w:color w:val="000000"/>
          <w:sz w:val="22"/>
          <w:szCs w:val="22"/>
        </w:rPr>
        <w:t xml:space="preserve"> y del turismo </w:t>
      </w:r>
      <w:r>
        <w:rPr>
          <w:rFonts w:asciiTheme="minorHAnsi" w:hAnsiTheme="minorHAnsi" w:cstheme="minorHAnsi"/>
          <w:color w:val="000000"/>
          <w:sz w:val="22"/>
          <w:szCs w:val="22"/>
        </w:rPr>
        <w:t>nacional</w:t>
      </w:r>
      <w:r w:rsidRPr="000B234C">
        <w:rPr>
          <w:rFonts w:asciiTheme="minorHAnsi" w:hAnsiTheme="minorHAnsi" w:cstheme="minorHAnsi"/>
          <w:color w:val="000000"/>
          <w:sz w:val="22"/>
          <w:szCs w:val="22"/>
        </w:rPr>
        <w:t xml:space="preserve"> situado en tercera posición con </w:t>
      </w:r>
      <w:r>
        <w:rPr>
          <w:rFonts w:asciiTheme="minorHAnsi" w:hAnsiTheme="minorHAnsi" w:cstheme="minorHAnsi"/>
          <w:color w:val="000000"/>
          <w:sz w:val="22"/>
          <w:szCs w:val="22"/>
        </w:rPr>
        <w:t>931.542</w:t>
      </w:r>
      <w:r w:rsidRPr="000B234C">
        <w:rPr>
          <w:rFonts w:asciiTheme="minorHAnsi" w:hAnsiTheme="minorHAnsi" w:cstheme="minorHAnsi"/>
          <w:color w:val="000000"/>
          <w:sz w:val="22"/>
          <w:szCs w:val="22"/>
        </w:rPr>
        <w:t xml:space="preserve"> por delante de </w:t>
      </w:r>
      <w:r>
        <w:rPr>
          <w:rFonts w:asciiTheme="minorHAnsi" w:hAnsiTheme="minorHAnsi" w:cstheme="minorHAnsi"/>
          <w:color w:val="000000"/>
          <w:sz w:val="22"/>
          <w:szCs w:val="22"/>
        </w:rPr>
        <w:t>Italia con 143.820</w:t>
      </w:r>
      <w:r w:rsidRPr="000B234C">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y </w:t>
      </w:r>
      <w:r w:rsidRPr="000B234C">
        <w:rPr>
          <w:rFonts w:asciiTheme="minorHAnsi" w:hAnsiTheme="minorHAnsi" w:cstheme="minorHAnsi"/>
          <w:color w:val="000000"/>
          <w:sz w:val="22"/>
          <w:szCs w:val="22"/>
        </w:rPr>
        <w:t xml:space="preserve">Francia con </w:t>
      </w:r>
      <w:r>
        <w:rPr>
          <w:rFonts w:asciiTheme="minorHAnsi" w:hAnsiTheme="minorHAnsi" w:cstheme="minorHAnsi"/>
          <w:color w:val="000000"/>
          <w:sz w:val="22"/>
          <w:szCs w:val="22"/>
        </w:rPr>
        <w:t xml:space="preserve">132.596 </w:t>
      </w:r>
      <w:r w:rsidRPr="000B234C">
        <w:rPr>
          <w:rFonts w:asciiTheme="minorHAnsi" w:hAnsiTheme="minorHAnsi" w:cstheme="minorHAnsi"/>
          <w:color w:val="000000"/>
          <w:sz w:val="22"/>
          <w:szCs w:val="22"/>
        </w:rPr>
        <w:t>turistas.</w:t>
      </w:r>
    </w:p>
    <w:p w14:paraId="090724F6" w14:textId="12ABFD07" w:rsidR="002E67D4" w:rsidRDefault="000B234C" w:rsidP="00340CA2">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0B234C">
        <w:rPr>
          <w:rFonts w:asciiTheme="minorHAnsi" w:hAnsiTheme="minorHAnsi" w:cstheme="minorHAnsi"/>
          <w:color w:val="000000"/>
          <w:sz w:val="22"/>
          <w:szCs w:val="22"/>
        </w:rPr>
        <w:t>La mayor parte de los turistas extranjeros que llegan a la isla lo hacen a través del aeropuerto y son en su mayoría, como se aprecia en el gráfico anterior, británicos, italianos, franceses y polacos.</w:t>
      </w:r>
    </w:p>
    <w:p w14:paraId="0D4B2056" w14:textId="6A65B617" w:rsidR="002E67D4" w:rsidRPr="00DD7802" w:rsidRDefault="006978CC" w:rsidP="00DD7802">
      <w:pPr>
        <w:pStyle w:val="NormalWeb"/>
        <w:shd w:val="clear" w:color="auto" w:fill="FFFFFF"/>
        <w:spacing w:line="276" w:lineRule="auto"/>
        <w:jc w:val="both"/>
        <w:rPr>
          <w:rFonts w:asciiTheme="minorHAnsi" w:hAnsiTheme="minorHAnsi" w:cstheme="minorHAnsi"/>
          <w:color w:val="000000"/>
          <w:sz w:val="22"/>
          <w:szCs w:val="22"/>
        </w:rPr>
      </w:pPr>
      <w:r>
        <w:rPr>
          <w:noProof/>
        </w:rPr>
        <w:drawing>
          <wp:inline distT="0" distB="0" distL="0" distR="0" wp14:anchorId="5B0772BC" wp14:editId="47C98318">
            <wp:extent cx="4572000" cy="2743200"/>
            <wp:effectExtent l="0" t="0" r="0" b="0"/>
            <wp:docPr id="4" name="Gráfico 4">
              <a:extLst xmlns:a="http://schemas.openxmlformats.org/drawingml/2006/main">
                <a:ext uri="{FF2B5EF4-FFF2-40B4-BE49-F238E27FC236}">
                  <a16:creationId xmlns:a16="http://schemas.microsoft.com/office/drawing/2014/main" id="{61EE067C-41D9-40D2-AACE-33CE6BA0DE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3F2A9C" w14:textId="55525C84" w:rsidR="008405C9" w:rsidRDefault="008405C9" w:rsidP="00DD7802">
      <w:pPr>
        <w:spacing w:after="0" w:line="276" w:lineRule="auto"/>
        <w:jc w:val="both"/>
        <w:rPr>
          <w:rFonts w:cstheme="minorHAnsi"/>
          <w:color w:val="000000"/>
          <w:shd w:val="clear" w:color="auto" w:fill="FFFFFF"/>
        </w:rPr>
      </w:pPr>
    </w:p>
    <w:p w14:paraId="54B6315B" w14:textId="77777777" w:rsidR="00340CA2" w:rsidRP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Históricamente, Fuerteventura ha tenido una economía basada en la agricultura de secano y la ganadería. De cualquier manera, durante las últimas décadas la isla ha experimentado un notable crecimiento en el sector turístico, convirtiéndose en la principal actividad económica junto con los sectores</w:t>
      </w:r>
      <w:r>
        <w:rPr>
          <w:rFonts w:ascii="Arial" w:hAnsi="Arial" w:cs="Arial"/>
          <w:color w:val="000000"/>
        </w:rPr>
        <w:t xml:space="preserve"> </w:t>
      </w:r>
      <w:r w:rsidRPr="00340CA2">
        <w:rPr>
          <w:rFonts w:asciiTheme="minorHAnsi" w:hAnsiTheme="minorHAnsi" w:cstheme="minorHAnsi"/>
          <w:color w:val="000000"/>
          <w:sz w:val="22"/>
          <w:szCs w:val="22"/>
        </w:rPr>
        <w:t xml:space="preserve">asociados a la construcción y los servicios. Además del turismo tradicional </w:t>
      </w:r>
      <w:r w:rsidRPr="00340CA2">
        <w:rPr>
          <w:rFonts w:asciiTheme="minorHAnsi" w:hAnsiTheme="minorHAnsi" w:cstheme="minorHAnsi"/>
          <w:color w:val="000000"/>
          <w:sz w:val="22"/>
          <w:szCs w:val="22"/>
        </w:rPr>
        <w:lastRenderedPageBreak/>
        <w:t>de “sol y playa”, se ha observado el surgimiento de nuevas tendencias como el turismo de interior o el turismo deportivo y de aventura, los cuales están adquiriendo cada vez más protagonismo.</w:t>
      </w:r>
    </w:p>
    <w:p w14:paraId="6C905655" w14:textId="77777777" w:rsidR="00340CA2" w:rsidRP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t>Turismo sostenible.</w:t>
      </w:r>
    </w:p>
    <w:p w14:paraId="784CF8C1" w14:textId="77777777" w:rsidR="00340CA2" w:rsidRP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 xml:space="preserve">Fuerteventura recibió la medalla de oro del </w:t>
      </w:r>
      <w:proofErr w:type="spellStart"/>
      <w:r w:rsidRPr="00340CA2">
        <w:rPr>
          <w:rFonts w:asciiTheme="minorHAnsi" w:hAnsiTheme="minorHAnsi" w:cstheme="minorHAnsi"/>
          <w:color w:val="000000"/>
          <w:sz w:val="22"/>
          <w:szCs w:val="22"/>
        </w:rPr>
        <w:t>Quality</w:t>
      </w:r>
      <w:proofErr w:type="spellEnd"/>
      <w:r w:rsidRPr="00340CA2">
        <w:rPr>
          <w:rFonts w:asciiTheme="minorHAnsi" w:hAnsiTheme="minorHAnsi" w:cstheme="minorHAnsi"/>
          <w:color w:val="000000"/>
          <w:sz w:val="22"/>
          <w:szCs w:val="22"/>
        </w:rPr>
        <w:t xml:space="preserve"> </w:t>
      </w:r>
      <w:proofErr w:type="spellStart"/>
      <w:r w:rsidRPr="00340CA2">
        <w:rPr>
          <w:rFonts w:asciiTheme="minorHAnsi" w:hAnsiTheme="minorHAnsi" w:cstheme="minorHAnsi"/>
          <w:color w:val="000000"/>
          <w:sz w:val="22"/>
          <w:szCs w:val="22"/>
        </w:rPr>
        <w:t>Coast</w:t>
      </w:r>
      <w:proofErr w:type="spellEnd"/>
      <w:r w:rsidRPr="00340CA2">
        <w:rPr>
          <w:rFonts w:asciiTheme="minorHAnsi" w:hAnsiTheme="minorHAnsi" w:cstheme="minorHAnsi"/>
          <w:color w:val="000000"/>
          <w:sz w:val="22"/>
          <w:szCs w:val="22"/>
        </w:rPr>
        <w:t xml:space="preserve"> Gold </w:t>
      </w:r>
      <w:proofErr w:type="spellStart"/>
      <w:r w:rsidRPr="00340CA2">
        <w:rPr>
          <w:rFonts w:asciiTheme="minorHAnsi" w:hAnsiTheme="minorHAnsi" w:cstheme="minorHAnsi"/>
          <w:color w:val="000000"/>
          <w:sz w:val="22"/>
          <w:szCs w:val="22"/>
        </w:rPr>
        <w:t>Award</w:t>
      </w:r>
      <w:proofErr w:type="spellEnd"/>
      <w:r w:rsidRPr="00340CA2">
        <w:rPr>
          <w:rFonts w:asciiTheme="minorHAnsi" w:hAnsiTheme="minorHAnsi" w:cstheme="minorHAnsi"/>
          <w:color w:val="000000"/>
          <w:sz w:val="22"/>
          <w:szCs w:val="22"/>
        </w:rPr>
        <w:t xml:space="preserve"> 2012, premio internacional que distingue la calidad medioambiental costera para un turismo sostenible, calificando a la isla majorera como destino muy recomendado en las categorías de Naturaleza (conservación de la naturaleza, contacto con la naturaleza, políticas ecológicas, paisajes abiertos y gestión de ruidos y luces) e Identidad (herencia cultural, territorio y tradición, identidad local, hospitalidad y satisfacción ,derechos humanos y justicia), apreciando sus esfuerzos por convertirse en un destino turístico sostenible. Gracias a este premio Fuerteventura ha sido seleccionada para ser incluida en el atlas global del turismo sostenible.</w:t>
      </w:r>
    </w:p>
    <w:p w14:paraId="41D07049" w14:textId="77777777" w:rsid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t>Naturaleza.</w:t>
      </w:r>
    </w:p>
    <w:p w14:paraId="02C85ED5" w14:textId="7AC06430" w:rsidR="00340CA2" w:rsidRP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 xml:space="preserve">Desde el año 2009 Fuerteventura es Reserva de la Biosfera, cuenta con 3 parques naturales; Parque Natural de las Dunas de Corralejo, Parque Natural de Jandía y Parque Natural Islote de Lobos, además de 12 zonas ZEC (Zonas Especial Conservación), 9 Zonas </w:t>
      </w:r>
      <w:proofErr w:type="spellStart"/>
      <w:r w:rsidRPr="00340CA2">
        <w:rPr>
          <w:rFonts w:asciiTheme="minorHAnsi" w:hAnsiTheme="minorHAnsi" w:cstheme="minorHAnsi"/>
          <w:color w:val="000000"/>
          <w:sz w:val="22"/>
          <w:szCs w:val="22"/>
        </w:rPr>
        <w:t>Zepa</w:t>
      </w:r>
      <w:proofErr w:type="spellEnd"/>
      <w:r w:rsidRPr="00340CA2">
        <w:rPr>
          <w:rFonts w:asciiTheme="minorHAnsi" w:hAnsiTheme="minorHAnsi" w:cstheme="minorHAnsi"/>
          <w:color w:val="000000"/>
          <w:sz w:val="22"/>
          <w:szCs w:val="22"/>
        </w:rPr>
        <w:t xml:space="preserve"> (Zonas de Especial Protección para Aves).</w:t>
      </w:r>
      <w:r>
        <w:rPr>
          <w:rFonts w:asciiTheme="minorHAnsi" w:hAnsiTheme="minorHAnsi" w:cstheme="minorHAnsi"/>
          <w:color w:val="000000"/>
          <w:sz w:val="22"/>
          <w:szCs w:val="22"/>
        </w:rPr>
        <w:t xml:space="preserve"> </w:t>
      </w:r>
      <w:r w:rsidRPr="00340CA2">
        <w:rPr>
          <w:rFonts w:asciiTheme="minorHAnsi" w:hAnsiTheme="minorHAnsi" w:cstheme="minorHAnsi"/>
          <w:color w:val="000000"/>
          <w:sz w:val="22"/>
          <w:szCs w:val="22"/>
        </w:rPr>
        <w:t>Fuerteventura cuenta con un total de 13 Espacios Naturales Protegidos incluyendo los parques naturales, monumentos naturales, paisajes protegidos y un sitio de interés científico.</w:t>
      </w:r>
    </w:p>
    <w:p w14:paraId="1F2A0426" w14:textId="77777777" w:rsidR="00340CA2" w:rsidRDefault="00340CA2" w:rsidP="00340CA2">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t>Gastronomía.</w:t>
      </w:r>
    </w:p>
    <w:p w14:paraId="561F134C" w14:textId="30329279"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Los platos de Fuerteventura saben a sal, a mar y al pastoreo de las cabras majoreras. Dentro de la gastronomía majorera se puede encontrar el puchero canario, la carne de cabra, el cabrito frito, el caldo de pescado, el sancocho, la vieja a la espalda, las papas arrugadas con mojo rojo o verde, el gofio, todo tipo de pescados frescos cocinados en todas sus formas y el prestigioso queso majorero D.O.</w:t>
      </w:r>
    </w:p>
    <w:p w14:paraId="0134208E" w14:textId="77777777"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En la última década se viene trabajando y elaborando con esmero nuevos productos que no tenían tradición en el campo majorero, encontrándose con unas condiciones climáticas diferenciadoras que los hacen valedores de una excelente calidad.</w:t>
      </w:r>
    </w:p>
    <w:p w14:paraId="47D1A82D" w14:textId="77777777"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Dentro de estos productos destacan el aceite de oliva virgen extra y el vino, galardonados con diferentes premios regionales y nacionales.</w:t>
      </w:r>
    </w:p>
    <w:p w14:paraId="512D8FDA" w14:textId="77777777"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b/>
          <w:bCs/>
          <w:sz w:val="22"/>
          <w:szCs w:val="22"/>
        </w:rPr>
        <w:t>Cultura.</w:t>
      </w:r>
    </w:p>
    <w:p w14:paraId="5BF48AC4" w14:textId="77777777"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La isla de Fuerteventura es portadora de una herencia cultural de un pasado lejano y cercano al mismo tiempo que pervive en cada rincón de la isla.</w:t>
      </w:r>
    </w:p>
    <w:p w14:paraId="4F7C629C" w14:textId="77777777" w:rsidR="00340CA2" w:rsidRPr="00340CA2" w:rsidRDefault="00340CA2" w:rsidP="00FC656B">
      <w:pPr>
        <w:pStyle w:val="NormalWeb"/>
        <w:shd w:val="clear" w:color="auto" w:fill="FFFFFF"/>
        <w:spacing w:before="12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 los antiguos pobladores, grabados, yacimientos arqueológicos y topónimos están presentes por todas partes.</w:t>
      </w:r>
    </w:p>
    <w:p w14:paraId="71DFD99A" w14:textId="77777777" w:rsidR="00340CA2" w:rsidRPr="00340CA2" w:rsidRDefault="00340CA2" w:rsidP="00FC656B">
      <w:pPr>
        <w:pStyle w:val="NormalWeb"/>
        <w:shd w:val="clear" w:color="auto" w:fill="FFFFFF"/>
        <w:spacing w:before="0" w:beforeAutospacing="0" w:after="12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 la herencia colonial, casas señoriales, encantadoras iglesias, ermitas, faros y molinos.</w:t>
      </w:r>
    </w:p>
    <w:p w14:paraId="33ABEE78" w14:textId="77777777" w:rsidR="00340CA2" w:rsidRPr="00340CA2" w:rsidRDefault="00340CA2" w:rsidP="00FC656B">
      <w:pPr>
        <w:pStyle w:val="NormalWeb"/>
        <w:shd w:val="clear" w:color="auto" w:fill="FFFFFF"/>
        <w:spacing w:before="0" w:beforeAutospacing="0" w:after="0" w:afterAutospacing="0" w:line="276" w:lineRule="auto"/>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De los tiempos modernos, parques escultóricos al aire libre, centros de arte, como la sala de arte Juan Ismael en Puerto del Rosario, teatros y festivales internacionales convergen a día de hoy con las manifestaciones culturales centenarias.</w:t>
      </w:r>
    </w:p>
    <w:p w14:paraId="65E83F71" w14:textId="77777777" w:rsidR="00340CA2" w:rsidRPr="00340CA2" w:rsidRDefault="00340CA2" w:rsidP="00FC656B">
      <w:pPr>
        <w:pStyle w:val="NormalWeb"/>
        <w:shd w:val="clear" w:color="auto" w:fill="FFFFFF"/>
        <w:spacing w:before="0" w:beforeAutospacing="0" w:after="120" w:afterAutospacing="0"/>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lastRenderedPageBreak/>
        <w:t>Las romerías, los mercadillos, las fiestas populares perpetuadas en todos los pueblos a lo largo del año, o la artesanía hecha de calados, cestería y barro, son ejemplos de una tradición que pervive en nuestros días.</w:t>
      </w:r>
    </w:p>
    <w:p w14:paraId="19D6C7B1" w14:textId="77777777" w:rsidR="00340CA2" w:rsidRPr="00340CA2" w:rsidRDefault="00340CA2" w:rsidP="00FC656B">
      <w:pPr>
        <w:pStyle w:val="NormalWeb"/>
        <w:shd w:val="clear" w:color="auto" w:fill="FFFFFF"/>
        <w:spacing w:before="0" w:beforeAutospacing="0" w:after="0" w:afterAutospacing="0"/>
        <w:jc w:val="both"/>
        <w:rPr>
          <w:rFonts w:asciiTheme="minorHAnsi" w:hAnsiTheme="minorHAnsi" w:cstheme="minorHAnsi"/>
          <w:color w:val="000000"/>
          <w:sz w:val="22"/>
          <w:szCs w:val="22"/>
        </w:rPr>
      </w:pPr>
      <w:r w:rsidRPr="00340CA2">
        <w:rPr>
          <w:rFonts w:asciiTheme="minorHAnsi" w:hAnsiTheme="minorHAnsi" w:cstheme="minorHAnsi"/>
          <w:color w:val="000000"/>
          <w:sz w:val="22"/>
          <w:szCs w:val="22"/>
        </w:rPr>
        <w:t>La red de museos de Fuerteventura ofrece la oportunidad de viajar en el tiempo a través de una historia que te acerca al conocimiento del pueblo majorero.</w:t>
      </w:r>
    </w:p>
    <w:p w14:paraId="11B4E2CA" w14:textId="308778EC" w:rsidR="000B234C" w:rsidRPr="00340CA2" w:rsidRDefault="000B234C" w:rsidP="000B234C">
      <w:pPr>
        <w:spacing w:after="0" w:line="360" w:lineRule="auto"/>
        <w:jc w:val="both"/>
        <w:rPr>
          <w:rFonts w:eastAsia="Times New Roman" w:cstheme="minorHAnsi"/>
          <w:color w:val="000000"/>
          <w:lang w:eastAsia="es-ES"/>
        </w:rPr>
      </w:pPr>
    </w:p>
    <w:sectPr w:rsidR="000B234C" w:rsidRPr="00340CA2" w:rsidSect="00132822">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6033B" w14:textId="77777777" w:rsidR="00A000D9" w:rsidRDefault="00A000D9" w:rsidP="008405C9">
      <w:pPr>
        <w:spacing w:after="0" w:line="240" w:lineRule="auto"/>
      </w:pPr>
      <w:r>
        <w:separator/>
      </w:r>
    </w:p>
  </w:endnote>
  <w:endnote w:type="continuationSeparator" w:id="0">
    <w:p w14:paraId="2EDAAFA9" w14:textId="77777777" w:rsidR="00A000D9" w:rsidRDefault="00A000D9" w:rsidP="0084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B04B6" w14:textId="77777777" w:rsidR="00A000D9" w:rsidRDefault="00A000D9" w:rsidP="008405C9">
      <w:pPr>
        <w:spacing w:after="0" w:line="240" w:lineRule="auto"/>
      </w:pPr>
      <w:r>
        <w:separator/>
      </w:r>
    </w:p>
  </w:footnote>
  <w:footnote w:type="continuationSeparator" w:id="0">
    <w:p w14:paraId="0ADD0578" w14:textId="77777777" w:rsidR="00A000D9" w:rsidRDefault="00A000D9" w:rsidP="0084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21577"/>
    <w:multiLevelType w:val="hybridMultilevel"/>
    <w:tmpl w:val="0DE6A05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2D"/>
    <w:rsid w:val="000B234C"/>
    <w:rsid w:val="00132822"/>
    <w:rsid w:val="001D1FCA"/>
    <w:rsid w:val="002512F4"/>
    <w:rsid w:val="002A0A11"/>
    <w:rsid w:val="002E67D4"/>
    <w:rsid w:val="00340CA2"/>
    <w:rsid w:val="00532002"/>
    <w:rsid w:val="00535D20"/>
    <w:rsid w:val="00625997"/>
    <w:rsid w:val="00627800"/>
    <w:rsid w:val="006978CC"/>
    <w:rsid w:val="006C7591"/>
    <w:rsid w:val="00726017"/>
    <w:rsid w:val="007C2F2D"/>
    <w:rsid w:val="008275B0"/>
    <w:rsid w:val="008405C9"/>
    <w:rsid w:val="009C522F"/>
    <w:rsid w:val="009C6627"/>
    <w:rsid w:val="00A000D9"/>
    <w:rsid w:val="00A621EB"/>
    <w:rsid w:val="00BD67AC"/>
    <w:rsid w:val="00C025A0"/>
    <w:rsid w:val="00D83C65"/>
    <w:rsid w:val="00DD7802"/>
    <w:rsid w:val="00FC65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250E"/>
  <w15:chartTrackingRefBased/>
  <w15:docId w15:val="{24E5B962-6AC1-4111-8BC6-F2AD954D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78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D7802"/>
    <w:rPr>
      <w:b/>
      <w:bCs/>
    </w:rPr>
  </w:style>
  <w:style w:type="paragraph" w:styleId="Encabezado">
    <w:name w:val="header"/>
    <w:basedOn w:val="Normal"/>
    <w:link w:val="EncabezadoCar"/>
    <w:uiPriority w:val="99"/>
    <w:unhideWhenUsed/>
    <w:rsid w:val="008405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05C9"/>
  </w:style>
  <w:style w:type="paragraph" w:styleId="Piedepgina">
    <w:name w:val="footer"/>
    <w:basedOn w:val="Normal"/>
    <w:link w:val="PiedepginaCar"/>
    <w:uiPriority w:val="99"/>
    <w:unhideWhenUsed/>
    <w:rsid w:val="008405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05C9"/>
  </w:style>
  <w:style w:type="paragraph" w:styleId="Prrafodelista">
    <w:name w:val="List Paragraph"/>
    <w:basedOn w:val="Normal"/>
    <w:uiPriority w:val="34"/>
    <w:qFormat/>
    <w:rsid w:val="009C6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67799">
      <w:bodyDiv w:val="1"/>
      <w:marLeft w:val="0"/>
      <w:marRight w:val="0"/>
      <w:marTop w:val="0"/>
      <w:marBottom w:val="0"/>
      <w:divBdr>
        <w:top w:val="none" w:sz="0" w:space="0" w:color="auto"/>
        <w:left w:val="none" w:sz="0" w:space="0" w:color="auto"/>
        <w:bottom w:val="none" w:sz="0" w:space="0" w:color="auto"/>
        <w:right w:val="none" w:sz="0" w:space="0" w:color="auto"/>
      </w:divBdr>
    </w:div>
    <w:div w:id="161314382">
      <w:bodyDiv w:val="1"/>
      <w:marLeft w:val="0"/>
      <w:marRight w:val="0"/>
      <w:marTop w:val="0"/>
      <w:marBottom w:val="0"/>
      <w:divBdr>
        <w:top w:val="none" w:sz="0" w:space="0" w:color="auto"/>
        <w:left w:val="none" w:sz="0" w:space="0" w:color="auto"/>
        <w:bottom w:val="none" w:sz="0" w:space="0" w:color="auto"/>
        <w:right w:val="none" w:sz="0" w:space="0" w:color="auto"/>
      </w:divBdr>
    </w:div>
    <w:div w:id="1227642521">
      <w:bodyDiv w:val="1"/>
      <w:marLeft w:val="0"/>
      <w:marRight w:val="0"/>
      <w:marTop w:val="0"/>
      <w:marBottom w:val="0"/>
      <w:divBdr>
        <w:top w:val="none" w:sz="0" w:space="0" w:color="auto"/>
        <w:left w:val="none" w:sz="0" w:space="0" w:color="auto"/>
        <w:bottom w:val="none" w:sz="0" w:space="0" w:color="auto"/>
        <w:right w:val="none" w:sz="0" w:space="0" w:color="auto"/>
      </w:divBdr>
    </w:div>
    <w:div w:id="1310671113">
      <w:bodyDiv w:val="1"/>
      <w:marLeft w:val="0"/>
      <w:marRight w:val="0"/>
      <w:marTop w:val="0"/>
      <w:marBottom w:val="0"/>
      <w:divBdr>
        <w:top w:val="none" w:sz="0" w:space="0" w:color="auto"/>
        <w:left w:val="none" w:sz="0" w:space="0" w:color="auto"/>
        <w:bottom w:val="none" w:sz="0" w:space="0" w:color="auto"/>
        <w:right w:val="none" w:sz="0" w:space="0" w:color="auto"/>
      </w:divBdr>
      <w:divsChild>
        <w:div w:id="1675574039">
          <w:marLeft w:val="0"/>
          <w:marRight w:val="0"/>
          <w:marTop w:val="0"/>
          <w:marBottom w:val="0"/>
          <w:divBdr>
            <w:top w:val="none" w:sz="0" w:space="0" w:color="auto"/>
            <w:left w:val="none" w:sz="0" w:space="0" w:color="auto"/>
            <w:bottom w:val="none" w:sz="0" w:space="0" w:color="auto"/>
            <w:right w:val="none" w:sz="0" w:space="0" w:color="auto"/>
          </w:divBdr>
          <w:divsChild>
            <w:div w:id="585848704">
              <w:marLeft w:val="0"/>
              <w:marRight w:val="0"/>
              <w:marTop w:val="0"/>
              <w:marBottom w:val="0"/>
              <w:divBdr>
                <w:top w:val="none" w:sz="0" w:space="0" w:color="auto"/>
                <w:left w:val="none" w:sz="0" w:space="0" w:color="auto"/>
                <w:bottom w:val="none" w:sz="0" w:space="0" w:color="auto"/>
                <w:right w:val="none" w:sz="0" w:space="0" w:color="auto"/>
              </w:divBdr>
            </w:div>
          </w:divsChild>
        </w:div>
        <w:div w:id="287660948">
          <w:marLeft w:val="0"/>
          <w:marRight w:val="0"/>
          <w:marTop w:val="0"/>
          <w:marBottom w:val="0"/>
          <w:divBdr>
            <w:top w:val="none" w:sz="0" w:space="0" w:color="auto"/>
            <w:left w:val="none" w:sz="0" w:space="0" w:color="auto"/>
            <w:bottom w:val="none" w:sz="0" w:space="0" w:color="auto"/>
            <w:right w:val="none" w:sz="0" w:space="0" w:color="auto"/>
          </w:divBdr>
          <w:divsChild>
            <w:div w:id="210025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7962">
      <w:bodyDiv w:val="1"/>
      <w:marLeft w:val="0"/>
      <w:marRight w:val="0"/>
      <w:marTop w:val="0"/>
      <w:marBottom w:val="0"/>
      <w:divBdr>
        <w:top w:val="none" w:sz="0" w:space="0" w:color="auto"/>
        <w:left w:val="none" w:sz="0" w:space="0" w:color="auto"/>
        <w:bottom w:val="none" w:sz="0" w:space="0" w:color="auto"/>
        <w:right w:val="none" w:sz="0" w:space="0" w:color="auto"/>
      </w:divBdr>
      <w:divsChild>
        <w:div w:id="82000655">
          <w:marLeft w:val="0"/>
          <w:marRight w:val="0"/>
          <w:marTop w:val="0"/>
          <w:marBottom w:val="0"/>
          <w:divBdr>
            <w:top w:val="none" w:sz="0" w:space="0" w:color="auto"/>
            <w:left w:val="none" w:sz="0" w:space="0" w:color="auto"/>
            <w:bottom w:val="none" w:sz="0" w:space="0" w:color="auto"/>
            <w:right w:val="none" w:sz="0" w:space="0" w:color="auto"/>
          </w:divBdr>
          <w:divsChild>
            <w:div w:id="1271163665">
              <w:marLeft w:val="0"/>
              <w:marRight w:val="0"/>
              <w:marTop w:val="0"/>
              <w:marBottom w:val="0"/>
              <w:divBdr>
                <w:top w:val="none" w:sz="0" w:space="0" w:color="auto"/>
                <w:left w:val="none" w:sz="0" w:space="0" w:color="auto"/>
                <w:bottom w:val="none" w:sz="0" w:space="0" w:color="auto"/>
                <w:right w:val="none" w:sz="0" w:space="0" w:color="auto"/>
              </w:divBdr>
            </w:div>
          </w:divsChild>
        </w:div>
        <w:div w:id="1212840787">
          <w:marLeft w:val="0"/>
          <w:marRight w:val="0"/>
          <w:marTop w:val="0"/>
          <w:marBottom w:val="0"/>
          <w:divBdr>
            <w:top w:val="none" w:sz="0" w:space="0" w:color="auto"/>
            <w:left w:val="none" w:sz="0" w:space="0" w:color="auto"/>
            <w:bottom w:val="none" w:sz="0" w:space="0" w:color="auto"/>
            <w:right w:val="none" w:sz="0" w:space="0" w:color="auto"/>
          </w:divBdr>
          <w:divsChild>
            <w:div w:id="105627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5803">
      <w:bodyDiv w:val="1"/>
      <w:marLeft w:val="0"/>
      <w:marRight w:val="0"/>
      <w:marTop w:val="0"/>
      <w:marBottom w:val="0"/>
      <w:divBdr>
        <w:top w:val="none" w:sz="0" w:space="0" w:color="auto"/>
        <w:left w:val="none" w:sz="0" w:space="0" w:color="auto"/>
        <w:bottom w:val="none" w:sz="0" w:space="0" w:color="auto"/>
        <w:right w:val="none" w:sz="0" w:space="0" w:color="auto"/>
      </w:divBdr>
    </w:div>
    <w:div w:id="183228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Evolución población por municipios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strRef>
              <c:f>Hoja1!$A$2</c:f>
              <c:strCache>
                <c:ptCount val="1"/>
                <c:pt idx="0">
                  <c:v>PUERTO DEL ROSARIO</c:v>
                </c:pt>
              </c:strCache>
            </c:strRef>
          </c:tx>
          <c:spPr>
            <a:ln w="28575" cap="rnd">
              <a:solidFill>
                <a:schemeClr val="accent1"/>
              </a:solidFill>
              <a:round/>
            </a:ln>
            <a:effectLst/>
          </c:spPr>
          <c:marker>
            <c:symbol val="none"/>
          </c:marker>
          <c:cat>
            <c:numRef>
              <c:f>Hoja1!$B$1:$I$1</c:f>
              <c:numCache>
                <c:formatCode>General</c:formatCode>
                <c:ptCount val="8"/>
                <c:pt idx="0">
                  <c:v>0</c:v>
                </c:pt>
                <c:pt idx="1">
                  <c:v>1996</c:v>
                </c:pt>
                <c:pt idx="2">
                  <c:v>2000</c:v>
                </c:pt>
                <c:pt idx="3">
                  <c:v>2005</c:v>
                </c:pt>
                <c:pt idx="4">
                  <c:v>2010</c:v>
                </c:pt>
                <c:pt idx="5">
                  <c:v>2015</c:v>
                </c:pt>
                <c:pt idx="6">
                  <c:v>2020</c:v>
                </c:pt>
                <c:pt idx="7">
                  <c:v>2024</c:v>
                </c:pt>
              </c:numCache>
            </c:numRef>
          </c:cat>
          <c:val>
            <c:numRef>
              <c:f>Hoja1!$B$2:$I$2</c:f>
              <c:numCache>
                <c:formatCode>0.00</c:formatCode>
                <c:ptCount val="8"/>
                <c:pt idx="0">
                  <c:v>0</c:v>
                </c:pt>
                <c:pt idx="1">
                  <c:v>19030</c:v>
                </c:pt>
                <c:pt idx="2">
                  <c:v>21274</c:v>
                </c:pt>
                <c:pt idx="3">
                  <c:v>30363</c:v>
                </c:pt>
                <c:pt idx="4">
                  <c:v>35702</c:v>
                </c:pt>
                <c:pt idx="5">
                  <c:v>37363</c:v>
                </c:pt>
                <c:pt idx="6">
                  <c:v>41808</c:v>
                </c:pt>
                <c:pt idx="7">
                  <c:v>44638</c:v>
                </c:pt>
              </c:numCache>
            </c:numRef>
          </c:val>
          <c:smooth val="0"/>
          <c:extLst>
            <c:ext xmlns:c16="http://schemas.microsoft.com/office/drawing/2014/chart" uri="{C3380CC4-5D6E-409C-BE32-E72D297353CC}">
              <c16:uniqueId val="{00000000-87E3-4C53-9667-D56A682FE3E2}"/>
            </c:ext>
          </c:extLst>
        </c:ser>
        <c:ser>
          <c:idx val="1"/>
          <c:order val="1"/>
          <c:tx>
            <c:strRef>
              <c:f>Hoja1!$A$3</c:f>
              <c:strCache>
                <c:ptCount val="1"/>
                <c:pt idx="0">
                  <c:v>LA OLIVA</c:v>
                </c:pt>
              </c:strCache>
            </c:strRef>
          </c:tx>
          <c:spPr>
            <a:ln w="28575" cap="rnd">
              <a:solidFill>
                <a:schemeClr val="accent2"/>
              </a:solidFill>
              <a:round/>
            </a:ln>
            <a:effectLst/>
          </c:spPr>
          <c:marker>
            <c:symbol val="none"/>
          </c:marker>
          <c:cat>
            <c:numRef>
              <c:f>Hoja1!$B$1:$I$1</c:f>
              <c:numCache>
                <c:formatCode>General</c:formatCode>
                <c:ptCount val="8"/>
                <c:pt idx="0">
                  <c:v>0</c:v>
                </c:pt>
                <c:pt idx="1">
                  <c:v>1996</c:v>
                </c:pt>
                <c:pt idx="2">
                  <c:v>2000</c:v>
                </c:pt>
                <c:pt idx="3">
                  <c:v>2005</c:v>
                </c:pt>
                <c:pt idx="4">
                  <c:v>2010</c:v>
                </c:pt>
                <c:pt idx="5">
                  <c:v>2015</c:v>
                </c:pt>
                <c:pt idx="6">
                  <c:v>2020</c:v>
                </c:pt>
                <c:pt idx="7">
                  <c:v>2024</c:v>
                </c:pt>
              </c:numCache>
            </c:numRef>
          </c:cat>
          <c:val>
            <c:numRef>
              <c:f>Hoja1!$B$3:$I$3</c:f>
              <c:numCache>
                <c:formatCode>0.00</c:formatCode>
                <c:ptCount val="8"/>
                <c:pt idx="0">
                  <c:v>0</c:v>
                </c:pt>
                <c:pt idx="1">
                  <c:v>6956</c:v>
                </c:pt>
                <c:pt idx="2">
                  <c:v>10578</c:v>
                </c:pt>
                <c:pt idx="3">
                  <c:v>17273</c:v>
                </c:pt>
                <c:pt idx="4">
                  <c:v>22351</c:v>
                </c:pt>
                <c:pt idx="5">
                  <c:v>25199</c:v>
                </c:pt>
                <c:pt idx="6">
                  <c:v>27234</c:v>
                </c:pt>
                <c:pt idx="7">
                  <c:v>29693</c:v>
                </c:pt>
              </c:numCache>
            </c:numRef>
          </c:val>
          <c:smooth val="0"/>
          <c:extLst>
            <c:ext xmlns:c16="http://schemas.microsoft.com/office/drawing/2014/chart" uri="{C3380CC4-5D6E-409C-BE32-E72D297353CC}">
              <c16:uniqueId val="{00000001-87E3-4C53-9667-D56A682FE3E2}"/>
            </c:ext>
          </c:extLst>
        </c:ser>
        <c:ser>
          <c:idx val="2"/>
          <c:order val="2"/>
          <c:tx>
            <c:strRef>
              <c:f>Hoja1!$A$4</c:f>
              <c:strCache>
                <c:ptCount val="1"/>
                <c:pt idx="0">
                  <c:v>PÁJARA</c:v>
                </c:pt>
              </c:strCache>
            </c:strRef>
          </c:tx>
          <c:spPr>
            <a:ln w="28575" cap="rnd">
              <a:solidFill>
                <a:schemeClr val="accent3"/>
              </a:solidFill>
              <a:round/>
            </a:ln>
            <a:effectLst/>
          </c:spPr>
          <c:marker>
            <c:symbol val="none"/>
          </c:marker>
          <c:cat>
            <c:numRef>
              <c:f>Hoja1!$B$1:$I$1</c:f>
              <c:numCache>
                <c:formatCode>General</c:formatCode>
                <c:ptCount val="8"/>
                <c:pt idx="0">
                  <c:v>0</c:v>
                </c:pt>
                <c:pt idx="1">
                  <c:v>1996</c:v>
                </c:pt>
                <c:pt idx="2">
                  <c:v>2000</c:v>
                </c:pt>
                <c:pt idx="3">
                  <c:v>2005</c:v>
                </c:pt>
                <c:pt idx="4">
                  <c:v>2010</c:v>
                </c:pt>
                <c:pt idx="5">
                  <c:v>2015</c:v>
                </c:pt>
                <c:pt idx="6">
                  <c:v>2020</c:v>
                </c:pt>
                <c:pt idx="7">
                  <c:v>2024</c:v>
                </c:pt>
              </c:numCache>
            </c:numRef>
          </c:cat>
          <c:val>
            <c:numRef>
              <c:f>Hoja1!$B$4:$I$4</c:f>
              <c:numCache>
                <c:formatCode>0.00</c:formatCode>
                <c:ptCount val="8"/>
                <c:pt idx="0">
                  <c:v>0</c:v>
                </c:pt>
                <c:pt idx="1">
                  <c:v>5812</c:v>
                </c:pt>
                <c:pt idx="2">
                  <c:v>12923</c:v>
                </c:pt>
                <c:pt idx="3">
                  <c:v>18173</c:v>
                </c:pt>
                <c:pt idx="4">
                  <c:v>20622</c:v>
                </c:pt>
                <c:pt idx="5">
                  <c:v>19271</c:v>
                </c:pt>
                <c:pt idx="6">
                  <c:v>21349</c:v>
                </c:pt>
                <c:pt idx="7">
                  <c:v>21614</c:v>
                </c:pt>
              </c:numCache>
            </c:numRef>
          </c:val>
          <c:smooth val="0"/>
          <c:extLst>
            <c:ext xmlns:c16="http://schemas.microsoft.com/office/drawing/2014/chart" uri="{C3380CC4-5D6E-409C-BE32-E72D297353CC}">
              <c16:uniqueId val="{00000002-87E3-4C53-9667-D56A682FE3E2}"/>
            </c:ext>
          </c:extLst>
        </c:ser>
        <c:ser>
          <c:idx val="3"/>
          <c:order val="3"/>
          <c:tx>
            <c:strRef>
              <c:f>Hoja1!$A$5</c:f>
              <c:strCache>
                <c:ptCount val="1"/>
                <c:pt idx="0">
                  <c:v>ANTIGUA</c:v>
                </c:pt>
              </c:strCache>
            </c:strRef>
          </c:tx>
          <c:spPr>
            <a:ln w="28575" cap="rnd">
              <a:solidFill>
                <a:schemeClr val="accent4"/>
              </a:solidFill>
              <a:round/>
            </a:ln>
            <a:effectLst/>
          </c:spPr>
          <c:marker>
            <c:symbol val="none"/>
          </c:marker>
          <c:cat>
            <c:numRef>
              <c:f>Hoja1!$B$1:$I$1</c:f>
              <c:numCache>
                <c:formatCode>General</c:formatCode>
                <c:ptCount val="8"/>
                <c:pt idx="0">
                  <c:v>0</c:v>
                </c:pt>
                <c:pt idx="1">
                  <c:v>1996</c:v>
                </c:pt>
                <c:pt idx="2">
                  <c:v>2000</c:v>
                </c:pt>
                <c:pt idx="3">
                  <c:v>2005</c:v>
                </c:pt>
                <c:pt idx="4">
                  <c:v>2010</c:v>
                </c:pt>
                <c:pt idx="5">
                  <c:v>2015</c:v>
                </c:pt>
                <c:pt idx="6">
                  <c:v>2020</c:v>
                </c:pt>
                <c:pt idx="7">
                  <c:v>2024</c:v>
                </c:pt>
              </c:numCache>
            </c:numRef>
          </c:cat>
          <c:val>
            <c:numRef>
              <c:f>Hoja1!$B$5:$I$5</c:f>
              <c:numCache>
                <c:formatCode>0.00</c:formatCode>
                <c:ptCount val="8"/>
                <c:pt idx="0">
                  <c:v>0</c:v>
                </c:pt>
                <c:pt idx="1">
                  <c:v>3004</c:v>
                </c:pt>
                <c:pt idx="2">
                  <c:v>4821</c:v>
                </c:pt>
                <c:pt idx="3">
                  <c:v>7578</c:v>
                </c:pt>
                <c:pt idx="4">
                  <c:v>10458</c:v>
                </c:pt>
                <c:pt idx="5">
                  <c:v>11024</c:v>
                </c:pt>
                <c:pt idx="6">
                  <c:v>12972</c:v>
                </c:pt>
                <c:pt idx="7">
                  <c:v>13832</c:v>
                </c:pt>
              </c:numCache>
            </c:numRef>
          </c:val>
          <c:smooth val="0"/>
          <c:extLst>
            <c:ext xmlns:c16="http://schemas.microsoft.com/office/drawing/2014/chart" uri="{C3380CC4-5D6E-409C-BE32-E72D297353CC}">
              <c16:uniqueId val="{00000003-87E3-4C53-9667-D56A682FE3E2}"/>
            </c:ext>
          </c:extLst>
        </c:ser>
        <c:ser>
          <c:idx val="4"/>
          <c:order val="4"/>
          <c:tx>
            <c:strRef>
              <c:f>Hoja1!$A$6</c:f>
              <c:strCache>
                <c:ptCount val="1"/>
                <c:pt idx="0">
                  <c:v>TUINEJE</c:v>
                </c:pt>
              </c:strCache>
            </c:strRef>
          </c:tx>
          <c:spPr>
            <a:ln w="28575" cap="rnd">
              <a:solidFill>
                <a:schemeClr val="accent5"/>
              </a:solidFill>
              <a:round/>
            </a:ln>
            <a:effectLst/>
          </c:spPr>
          <c:marker>
            <c:symbol val="none"/>
          </c:marker>
          <c:cat>
            <c:numRef>
              <c:f>Hoja1!$B$1:$I$1</c:f>
              <c:numCache>
                <c:formatCode>General</c:formatCode>
                <c:ptCount val="8"/>
                <c:pt idx="0">
                  <c:v>0</c:v>
                </c:pt>
                <c:pt idx="1">
                  <c:v>1996</c:v>
                </c:pt>
                <c:pt idx="2">
                  <c:v>2000</c:v>
                </c:pt>
                <c:pt idx="3">
                  <c:v>2005</c:v>
                </c:pt>
                <c:pt idx="4">
                  <c:v>2010</c:v>
                </c:pt>
                <c:pt idx="5">
                  <c:v>2015</c:v>
                </c:pt>
                <c:pt idx="6">
                  <c:v>2020</c:v>
                </c:pt>
                <c:pt idx="7">
                  <c:v>2024</c:v>
                </c:pt>
              </c:numCache>
            </c:numRef>
          </c:cat>
          <c:val>
            <c:numRef>
              <c:f>Hoja1!$B$6:$I$6</c:f>
              <c:numCache>
                <c:formatCode>0.00</c:formatCode>
                <c:ptCount val="8"/>
                <c:pt idx="0">
                  <c:v>0</c:v>
                </c:pt>
                <c:pt idx="1">
                  <c:v>7544</c:v>
                </c:pt>
                <c:pt idx="2">
                  <c:v>9851</c:v>
                </c:pt>
                <c:pt idx="3">
                  <c:v>12517</c:v>
                </c:pt>
                <c:pt idx="4">
                  <c:v>13536</c:v>
                </c:pt>
                <c:pt idx="5">
                  <c:v>13797</c:v>
                </c:pt>
                <c:pt idx="6">
                  <c:v>15596</c:v>
                </c:pt>
                <c:pt idx="7">
                  <c:v>16454</c:v>
                </c:pt>
              </c:numCache>
            </c:numRef>
          </c:val>
          <c:smooth val="0"/>
          <c:extLst>
            <c:ext xmlns:c16="http://schemas.microsoft.com/office/drawing/2014/chart" uri="{C3380CC4-5D6E-409C-BE32-E72D297353CC}">
              <c16:uniqueId val="{00000004-87E3-4C53-9667-D56A682FE3E2}"/>
            </c:ext>
          </c:extLst>
        </c:ser>
        <c:ser>
          <c:idx val="5"/>
          <c:order val="5"/>
          <c:tx>
            <c:strRef>
              <c:f>Hoja1!$A$7</c:f>
              <c:strCache>
                <c:ptCount val="1"/>
                <c:pt idx="0">
                  <c:v>BETANCURIA</c:v>
                </c:pt>
              </c:strCache>
            </c:strRef>
          </c:tx>
          <c:spPr>
            <a:ln w="28575" cap="rnd">
              <a:solidFill>
                <a:schemeClr val="accent6"/>
              </a:solidFill>
              <a:round/>
            </a:ln>
            <a:effectLst/>
          </c:spPr>
          <c:marker>
            <c:symbol val="none"/>
          </c:marker>
          <c:cat>
            <c:numRef>
              <c:f>Hoja1!$B$1:$I$1</c:f>
              <c:numCache>
                <c:formatCode>General</c:formatCode>
                <c:ptCount val="8"/>
                <c:pt idx="0">
                  <c:v>0</c:v>
                </c:pt>
                <c:pt idx="1">
                  <c:v>1996</c:v>
                </c:pt>
                <c:pt idx="2">
                  <c:v>2000</c:v>
                </c:pt>
                <c:pt idx="3">
                  <c:v>2005</c:v>
                </c:pt>
                <c:pt idx="4">
                  <c:v>2010</c:v>
                </c:pt>
                <c:pt idx="5">
                  <c:v>2015</c:v>
                </c:pt>
                <c:pt idx="6">
                  <c:v>2020</c:v>
                </c:pt>
                <c:pt idx="7">
                  <c:v>2024</c:v>
                </c:pt>
              </c:numCache>
            </c:numRef>
          </c:cat>
          <c:val>
            <c:numRef>
              <c:f>Hoja1!$B$7:$I$7</c:f>
              <c:numCache>
                <c:formatCode>0.00</c:formatCode>
                <c:ptCount val="8"/>
                <c:pt idx="0">
                  <c:v>0</c:v>
                </c:pt>
                <c:pt idx="1">
                  <c:v>592</c:v>
                </c:pt>
                <c:pt idx="2">
                  <c:v>677</c:v>
                </c:pt>
                <c:pt idx="3">
                  <c:v>738</c:v>
                </c:pt>
                <c:pt idx="4">
                  <c:v>823</c:v>
                </c:pt>
                <c:pt idx="5">
                  <c:v>713</c:v>
                </c:pt>
                <c:pt idx="6">
                  <c:v>773</c:v>
                </c:pt>
                <c:pt idx="7">
                  <c:v>812</c:v>
                </c:pt>
              </c:numCache>
            </c:numRef>
          </c:val>
          <c:smooth val="0"/>
          <c:extLst>
            <c:ext xmlns:c16="http://schemas.microsoft.com/office/drawing/2014/chart" uri="{C3380CC4-5D6E-409C-BE32-E72D297353CC}">
              <c16:uniqueId val="{00000005-87E3-4C53-9667-D56A682FE3E2}"/>
            </c:ext>
          </c:extLst>
        </c:ser>
        <c:dLbls>
          <c:showLegendKey val="0"/>
          <c:showVal val="0"/>
          <c:showCatName val="0"/>
          <c:showSerName val="0"/>
          <c:showPercent val="0"/>
          <c:showBubbleSize val="0"/>
        </c:dLbls>
        <c:smooth val="0"/>
        <c:axId val="1003813376"/>
        <c:axId val="1052842160"/>
      </c:lineChart>
      <c:catAx>
        <c:axId val="1003813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52842160"/>
        <c:crosses val="autoZero"/>
        <c:auto val="1"/>
        <c:lblAlgn val="ctr"/>
        <c:lblOffset val="100"/>
        <c:noMultiLvlLbl val="0"/>
      </c:catAx>
      <c:valAx>
        <c:axId val="10528421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03813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Plazas</a:t>
            </a:r>
            <a:r>
              <a:rPr lang="en-US" baseline="0"/>
              <a:t> alojativas hoteleras en Fuerteventura</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Hoja1!$A$13</c:f>
              <c:strCache>
                <c:ptCount val="1"/>
                <c:pt idx="0">
                  <c:v>PUERTO DEL ROSARIO</c:v>
                </c:pt>
              </c:strCache>
            </c:strRef>
          </c:tx>
          <c:spPr>
            <a:solidFill>
              <a:schemeClr val="accent2"/>
            </a:solidFill>
            <a:ln>
              <a:noFill/>
            </a:ln>
            <a:effectLst/>
          </c:spPr>
          <c:invertIfNegative val="0"/>
          <c:cat>
            <c:numRef>
              <c:f>Hoja1!$B$12:$F$12</c:f>
              <c:numCache>
                <c:formatCode>General</c:formatCode>
                <c:ptCount val="5"/>
                <c:pt idx="0">
                  <c:v>2020</c:v>
                </c:pt>
                <c:pt idx="1">
                  <c:v>2021</c:v>
                </c:pt>
                <c:pt idx="2">
                  <c:v>2022</c:v>
                </c:pt>
                <c:pt idx="3">
                  <c:v>2023</c:v>
                </c:pt>
                <c:pt idx="4">
                  <c:v>2024</c:v>
                </c:pt>
              </c:numCache>
            </c:numRef>
          </c:cat>
          <c:val>
            <c:numRef>
              <c:f>Hoja1!$B$13:$F$13</c:f>
              <c:numCache>
                <c:formatCode>General</c:formatCode>
                <c:ptCount val="5"/>
                <c:pt idx="0">
                  <c:v>80</c:v>
                </c:pt>
                <c:pt idx="1">
                  <c:v>52</c:v>
                </c:pt>
                <c:pt idx="2">
                  <c:v>85</c:v>
                </c:pt>
                <c:pt idx="3">
                  <c:v>199</c:v>
                </c:pt>
                <c:pt idx="4">
                  <c:v>150</c:v>
                </c:pt>
              </c:numCache>
            </c:numRef>
          </c:val>
          <c:extLst>
            <c:ext xmlns:c16="http://schemas.microsoft.com/office/drawing/2014/chart" uri="{C3380CC4-5D6E-409C-BE32-E72D297353CC}">
              <c16:uniqueId val="{00000000-AA5B-4F2A-A0AA-E0B78DF391E8}"/>
            </c:ext>
          </c:extLst>
        </c:ser>
        <c:ser>
          <c:idx val="1"/>
          <c:order val="1"/>
          <c:tx>
            <c:strRef>
              <c:f>Hoja1!$A$14</c:f>
              <c:strCache>
                <c:ptCount val="1"/>
                <c:pt idx="0">
                  <c:v>LA OLIVA</c:v>
                </c:pt>
              </c:strCache>
            </c:strRef>
          </c:tx>
          <c:spPr>
            <a:solidFill>
              <a:schemeClr val="accent4"/>
            </a:solidFill>
            <a:ln>
              <a:noFill/>
            </a:ln>
            <a:effectLst/>
          </c:spPr>
          <c:invertIfNegative val="0"/>
          <c:cat>
            <c:numRef>
              <c:f>Hoja1!$B$12:$F$12</c:f>
              <c:numCache>
                <c:formatCode>General</c:formatCode>
                <c:ptCount val="5"/>
                <c:pt idx="0">
                  <c:v>2020</c:v>
                </c:pt>
                <c:pt idx="1">
                  <c:v>2021</c:v>
                </c:pt>
                <c:pt idx="2">
                  <c:v>2022</c:v>
                </c:pt>
                <c:pt idx="3">
                  <c:v>2023</c:v>
                </c:pt>
                <c:pt idx="4">
                  <c:v>2024</c:v>
                </c:pt>
              </c:numCache>
            </c:numRef>
          </c:cat>
          <c:val>
            <c:numRef>
              <c:f>Hoja1!$B$14:$F$14</c:f>
              <c:numCache>
                <c:formatCode>General</c:formatCode>
                <c:ptCount val="5"/>
                <c:pt idx="0">
                  <c:v>4983</c:v>
                </c:pt>
                <c:pt idx="1">
                  <c:v>6876</c:v>
                </c:pt>
                <c:pt idx="2">
                  <c:v>11164</c:v>
                </c:pt>
                <c:pt idx="3">
                  <c:v>11130</c:v>
                </c:pt>
                <c:pt idx="4">
                  <c:v>10808</c:v>
                </c:pt>
              </c:numCache>
            </c:numRef>
          </c:val>
          <c:extLst>
            <c:ext xmlns:c16="http://schemas.microsoft.com/office/drawing/2014/chart" uri="{C3380CC4-5D6E-409C-BE32-E72D297353CC}">
              <c16:uniqueId val="{00000001-AA5B-4F2A-A0AA-E0B78DF391E8}"/>
            </c:ext>
          </c:extLst>
        </c:ser>
        <c:ser>
          <c:idx val="2"/>
          <c:order val="2"/>
          <c:tx>
            <c:strRef>
              <c:f>Hoja1!$A$15</c:f>
              <c:strCache>
                <c:ptCount val="1"/>
                <c:pt idx="0">
                  <c:v>PÁJARA</c:v>
                </c:pt>
              </c:strCache>
            </c:strRef>
          </c:tx>
          <c:spPr>
            <a:solidFill>
              <a:schemeClr val="accent6"/>
            </a:solidFill>
            <a:ln>
              <a:noFill/>
            </a:ln>
            <a:effectLst/>
          </c:spPr>
          <c:invertIfNegative val="0"/>
          <c:cat>
            <c:numRef>
              <c:f>Hoja1!$B$12:$F$12</c:f>
              <c:numCache>
                <c:formatCode>General</c:formatCode>
                <c:ptCount val="5"/>
                <c:pt idx="0">
                  <c:v>2020</c:v>
                </c:pt>
                <c:pt idx="1">
                  <c:v>2021</c:v>
                </c:pt>
                <c:pt idx="2">
                  <c:v>2022</c:v>
                </c:pt>
                <c:pt idx="3">
                  <c:v>2023</c:v>
                </c:pt>
                <c:pt idx="4">
                  <c:v>2024</c:v>
                </c:pt>
              </c:numCache>
            </c:numRef>
          </c:cat>
          <c:val>
            <c:numRef>
              <c:f>Hoja1!$B$15:$F$15</c:f>
              <c:numCache>
                <c:formatCode>General</c:formatCode>
                <c:ptCount val="5"/>
                <c:pt idx="0">
                  <c:v>15124</c:v>
                </c:pt>
                <c:pt idx="1">
                  <c:v>19050</c:v>
                </c:pt>
                <c:pt idx="2">
                  <c:v>29044</c:v>
                </c:pt>
                <c:pt idx="3">
                  <c:v>29809</c:v>
                </c:pt>
                <c:pt idx="4">
                  <c:v>29190</c:v>
                </c:pt>
              </c:numCache>
            </c:numRef>
          </c:val>
          <c:extLst>
            <c:ext xmlns:c16="http://schemas.microsoft.com/office/drawing/2014/chart" uri="{C3380CC4-5D6E-409C-BE32-E72D297353CC}">
              <c16:uniqueId val="{00000002-AA5B-4F2A-A0AA-E0B78DF391E8}"/>
            </c:ext>
          </c:extLst>
        </c:ser>
        <c:ser>
          <c:idx val="3"/>
          <c:order val="3"/>
          <c:tx>
            <c:strRef>
              <c:f>Hoja1!$A$16</c:f>
              <c:strCache>
                <c:ptCount val="1"/>
                <c:pt idx="0">
                  <c:v>ANTIGUA</c:v>
                </c:pt>
              </c:strCache>
            </c:strRef>
          </c:tx>
          <c:spPr>
            <a:solidFill>
              <a:schemeClr val="accent2">
                <a:lumMod val="60000"/>
              </a:schemeClr>
            </a:solidFill>
            <a:ln>
              <a:noFill/>
            </a:ln>
            <a:effectLst/>
          </c:spPr>
          <c:invertIfNegative val="0"/>
          <c:cat>
            <c:numRef>
              <c:f>Hoja1!$B$12:$F$12</c:f>
              <c:numCache>
                <c:formatCode>General</c:formatCode>
                <c:ptCount val="5"/>
                <c:pt idx="0">
                  <c:v>2020</c:v>
                </c:pt>
                <c:pt idx="1">
                  <c:v>2021</c:v>
                </c:pt>
                <c:pt idx="2">
                  <c:v>2022</c:v>
                </c:pt>
                <c:pt idx="3">
                  <c:v>2023</c:v>
                </c:pt>
                <c:pt idx="4">
                  <c:v>2024</c:v>
                </c:pt>
              </c:numCache>
            </c:numRef>
          </c:cat>
          <c:val>
            <c:numRef>
              <c:f>Hoja1!$B$16:$F$16</c:f>
              <c:numCache>
                <c:formatCode>General</c:formatCode>
                <c:ptCount val="5"/>
                <c:pt idx="0">
                  <c:v>2983</c:v>
                </c:pt>
                <c:pt idx="1">
                  <c:v>4711</c:v>
                </c:pt>
                <c:pt idx="2">
                  <c:v>7613</c:v>
                </c:pt>
                <c:pt idx="3">
                  <c:v>8379</c:v>
                </c:pt>
                <c:pt idx="4">
                  <c:v>8369</c:v>
                </c:pt>
              </c:numCache>
            </c:numRef>
          </c:val>
          <c:extLst>
            <c:ext xmlns:c16="http://schemas.microsoft.com/office/drawing/2014/chart" uri="{C3380CC4-5D6E-409C-BE32-E72D297353CC}">
              <c16:uniqueId val="{00000003-AA5B-4F2A-A0AA-E0B78DF391E8}"/>
            </c:ext>
          </c:extLst>
        </c:ser>
        <c:ser>
          <c:idx val="4"/>
          <c:order val="4"/>
          <c:tx>
            <c:strRef>
              <c:f>Hoja1!$A$17</c:f>
              <c:strCache>
                <c:ptCount val="1"/>
                <c:pt idx="0">
                  <c:v>RESTO</c:v>
                </c:pt>
              </c:strCache>
            </c:strRef>
          </c:tx>
          <c:spPr>
            <a:solidFill>
              <a:schemeClr val="accent4">
                <a:lumMod val="60000"/>
              </a:schemeClr>
            </a:solidFill>
            <a:ln>
              <a:noFill/>
            </a:ln>
            <a:effectLst/>
          </c:spPr>
          <c:invertIfNegative val="0"/>
          <c:cat>
            <c:numRef>
              <c:f>Hoja1!$B$12:$F$12</c:f>
              <c:numCache>
                <c:formatCode>General</c:formatCode>
                <c:ptCount val="5"/>
                <c:pt idx="0">
                  <c:v>2020</c:v>
                </c:pt>
                <c:pt idx="1">
                  <c:v>2021</c:v>
                </c:pt>
                <c:pt idx="2">
                  <c:v>2022</c:v>
                </c:pt>
                <c:pt idx="3">
                  <c:v>2023</c:v>
                </c:pt>
                <c:pt idx="4">
                  <c:v>2024</c:v>
                </c:pt>
              </c:numCache>
            </c:numRef>
          </c:cat>
          <c:val>
            <c:numRef>
              <c:f>Hoja1!$B$17:$F$17</c:f>
              <c:numCache>
                <c:formatCode>General</c:formatCode>
                <c:ptCount val="5"/>
                <c:pt idx="0">
                  <c:v>598</c:v>
                </c:pt>
                <c:pt idx="1">
                  <c:v>1114</c:v>
                </c:pt>
                <c:pt idx="2">
                  <c:v>1403</c:v>
                </c:pt>
                <c:pt idx="3">
                  <c:v>1510</c:v>
                </c:pt>
                <c:pt idx="4">
                  <c:v>1510</c:v>
                </c:pt>
              </c:numCache>
            </c:numRef>
          </c:val>
          <c:extLst>
            <c:ext xmlns:c16="http://schemas.microsoft.com/office/drawing/2014/chart" uri="{C3380CC4-5D6E-409C-BE32-E72D297353CC}">
              <c16:uniqueId val="{00000004-AA5B-4F2A-A0AA-E0B78DF391E8}"/>
            </c:ext>
          </c:extLst>
        </c:ser>
        <c:dLbls>
          <c:showLegendKey val="0"/>
          <c:showVal val="0"/>
          <c:showCatName val="0"/>
          <c:showSerName val="0"/>
          <c:showPercent val="0"/>
          <c:showBubbleSize val="0"/>
        </c:dLbls>
        <c:gapWidth val="219"/>
        <c:overlap val="-27"/>
        <c:axId val="1145327664"/>
        <c:axId val="1135906704"/>
      </c:barChart>
      <c:catAx>
        <c:axId val="114532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35906704"/>
        <c:crosses val="autoZero"/>
        <c:auto val="1"/>
        <c:lblAlgn val="ctr"/>
        <c:lblOffset val="100"/>
        <c:noMultiLvlLbl val="0"/>
      </c:catAx>
      <c:valAx>
        <c:axId val="1135906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45327664"/>
        <c:crosses val="autoZero"/>
        <c:crossBetween val="between"/>
        <c:majorUnit val="2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Plazas alojativas extrahoteleras en Fuerteventura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Hoja1!$A$30</c:f>
              <c:strCache>
                <c:ptCount val="1"/>
                <c:pt idx="0">
                  <c:v>PUERTO DEL ROSARIO</c:v>
                </c:pt>
              </c:strCache>
            </c:strRef>
          </c:tx>
          <c:spPr>
            <a:solidFill>
              <a:schemeClr val="accent2"/>
            </a:solidFill>
            <a:ln>
              <a:noFill/>
            </a:ln>
            <a:effectLst/>
          </c:spPr>
          <c:invertIfNegative val="0"/>
          <c:cat>
            <c:numRef>
              <c:f>Hoja1!$B$29:$F$29</c:f>
              <c:numCache>
                <c:formatCode>General</c:formatCode>
                <c:ptCount val="5"/>
                <c:pt idx="0">
                  <c:v>2020</c:v>
                </c:pt>
                <c:pt idx="1">
                  <c:v>2021</c:v>
                </c:pt>
                <c:pt idx="2">
                  <c:v>2022</c:v>
                </c:pt>
                <c:pt idx="3">
                  <c:v>2023</c:v>
                </c:pt>
                <c:pt idx="4">
                  <c:v>2024</c:v>
                </c:pt>
              </c:numCache>
            </c:numRef>
          </c:cat>
          <c:val>
            <c:numRef>
              <c:f>Hoja1!$B$30:$F$30</c:f>
              <c:numCache>
                <c:formatCode>General</c:formatCode>
                <c:ptCount val="5"/>
                <c:pt idx="0">
                  <c:v>0</c:v>
                </c:pt>
                <c:pt idx="1">
                  <c:v>0</c:v>
                </c:pt>
                <c:pt idx="2">
                  <c:v>0</c:v>
                </c:pt>
                <c:pt idx="3">
                  <c:v>0</c:v>
                </c:pt>
                <c:pt idx="4">
                  <c:v>0</c:v>
                </c:pt>
              </c:numCache>
            </c:numRef>
          </c:val>
          <c:extLst>
            <c:ext xmlns:c16="http://schemas.microsoft.com/office/drawing/2014/chart" uri="{C3380CC4-5D6E-409C-BE32-E72D297353CC}">
              <c16:uniqueId val="{00000000-ADF8-4301-9A6C-E53977E89ED4}"/>
            </c:ext>
          </c:extLst>
        </c:ser>
        <c:ser>
          <c:idx val="1"/>
          <c:order val="1"/>
          <c:tx>
            <c:strRef>
              <c:f>Hoja1!$A$31</c:f>
              <c:strCache>
                <c:ptCount val="1"/>
                <c:pt idx="0">
                  <c:v>LA OLIVA</c:v>
                </c:pt>
              </c:strCache>
            </c:strRef>
          </c:tx>
          <c:spPr>
            <a:solidFill>
              <a:schemeClr val="accent4"/>
            </a:solidFill>
            <a:ln>
              <a:noFill/>
            </a:ln>
            <a:effectLst/>
          </c:spPr>
          <c:invertIfNegative val="0"/>
          <c:cat>
            <c:numRef>
              <c:f>Hoja1!$B$29:$F$29</c:f>
              <c:numCache>
                <c:formatCode>General</c:formatCode>
                <c:ptCount val="5"/>
                <c:pt idx="0">
                  <c:v>2020</c:v>
                </c:pt>
                <c:pt idx="1">
                  <c:v>2021</c:v>
                </c:pt>
                <c:pt idx="2">
                  <c:v>2022</c:v>
                </c:pt>
                <c:pt idx="3">
                  <c:v>2023</c:v>
                </c:pt>
                <c:pt idx="4">
                  <c:v>2024</c:v>
                </c:pt>
              </c:numCache>
            </c:numRef>
          </c:cat>
          <c:val>
            <c:numRef>
              <c:f>Hoja1!$B$31:$F$31</c:f>
              <c:numCache>
                <c:formatCode>General</c:formatCode>
                <c:ptCount val="5"/>
                <c:pt idx="0">
                  <c:v>1473</c:v>
                </c:pt>
                <c:pt idx="1">
                  <c:v>1429</c:v>
                </c:pt>
                <c:pt idx="2">
                  <c:v>1622</c:v>
                </c:pt>
                <c:pt idx="3">
                  <c:v>1611</c:v>
                </c:pt>
                <c:pt idx="4">
                  <c:v>2129</c:v>
                </c:pt>
              </c:numCache>
            </c:numRef>
          </c:val>
          <c:extLst>
            <c:ext xmlns:c16="http://schemas.microsoft.com/office/drawing/2014/chart" uri="{C3380CC4-5D6E-409C-BE32-E72D297353CC}">
              <c16:uniqueId val="{00000001-ADF8-4301-9A6C-E53977E89ED4}"/>
            </c:ext>
          </c:extLst>
        </c:ser>
        <c:ser>
          <c:idx val="2"/>
          <c:order val="2"/>
          <c:tx>
            <c:strRef>
              <c:f>Hoja1!$A$32</c:f>
              <c:strCache>
                <c:ptCount val="1"/>
                <c:pt idx="0">
                  <c:v>PÁJARA</c:v>
                </c:pt>
              </c:strCache>
            </c:strRef>
          </c:tx>
          <c:spPr>
            <a:solidFill>
              <a:schemeClr val="accent6"/>
            </a:solidFill>
            <a:ln>
              <a:noFill/>
            </a:ln>
            <a:effectLst/>
          </c:spPr>
          <c:invertIfNegative val="0"/>
          <c:cat>
            <c:numRef>
              <c:f>Hoja1!$B$29:$F$29</c:f>
              <c:numCache>
                <c:formatCode>General</c:formatCode>
                <c:ptCount val="5"/>
                <c:pt idx="0">
                  <c:v>2020</c:v>
                </c:pt>
                <c:pt idx="1">
                  <c:v>2021</c:v>
                </c:pt>
                <c:pt idx="2">
                  <c:v>2022</c:v>
                </c:pt>
                <c:pt idx="3">
                  <c:v>2023</c:v>
                </c:pt>
                <c:pt idx="4">
                  <c:v>2024</c:v>
                </c:pt>
              </c:numCache>
            </c:numRef>
          </c:cat>
          <c:val>
            <c:numRef>
              <c:f>Hoja1!$B$32:$F$32</c:f>
              <c:numCache>
                <c:formatCode>General</c:formatCode>
                <c:ptCount val="5"/>
                <c:pt idx="0">
                  <c:v>2937</c:v>
                </c:pt>
                <c:pt idx="1">
                  <c:v>3625</c:v>
                </c:pt>
                <c:pt idx="2">
                  <c:v>4226</c:v>
                </c:pt>
                <c:pt idx="3">
                  <c:v>4374</c:v>
                </c:pt>
                <c:pt idx="4">
                  <c:v>4374</c:v>
                </c:pt>
              </c:numCache>
            </c:numRef>
          </c:val>
          <c:extLst>
            <c:ext xmlns:c16="http://schemas.microsoft.com/office/drawing/2014/chart" uri="{C3380CC4-5D6E-409C-BE32-E72D297353CC}">
              <c16:uniqueId val="{00000002-ADF8-4301-9A6C-E53977E89ED4}"/>
            </c:ext>
          </c:extLst>
        </c:ser>
        <c:ser>
          <c:idx val="3"/>
          <c:order val="3"/>
          <c:tx>
            <c:strRef>
              <c:f>Hoja1!$A$33</c:f>
              <c:strCache>
                <c:ptCount val="1"/>
                <c:pt idx="0">
                  <c:v>ANTIGUA</c:v>
                </c:pt>
              </c:strCache>
            </c:strRef>
          </c:tx>
          <c:spPr>
            <a:solidFill>
              <a:schemeClr val="accent2">
                <a:lumMod val="60000"/>
              </a:schemeClr>
            </a:solidFill>
            <a:ln>
              <a:noFill/>
            </a:ln>
            <a:effectLst/>
          </c:spPr>
          <c:invertIfNegative val="0"/>
          <c:cat>
            <c:numRef>
              <c:f>Hoja1!$B$29:$F$29</c:f>
              <c:numCache>
                <c:formatCode>General</c:formatCode>
                <c:ptCount val="5"/>
                <c:pt idx="0">
                  <c:v>2020</c:v>
                </c:pt>
                <c:pt idx="1">
                  <c:v>2021</c:v>
                </c:pt>
                <c:pt idx="2">
                  <c:v>2022</c:v>
                </c:pt>
                <c:pt idx="3">
                  <c:v>2023</c:v>
                </c:pt>
                <c:pt idx="4">
                  <c:v>2024</c:v>
                </c:pt>
              </c:numCache>
            </c:numRef>
          </c:cat>
          <c:val>
            <c:numRef>
              <c:f>Hoja1!$B$33:$F$33</c:f>
              <c:numCache>
                <c:formatCode>General</c:formatCode>
                <c:ptCount val="5"/>
                <c:pt idx="0">
                  <c:v>1461</c:v>
                </c:pt>
                <c:pt idx="1">
                  <c:v>1597</c:v>
                </c:pt>
                <c:pt idx="2">
                  <c:v>2634</c:v>
                </c:pt>
                <c:pt idx="3">
                  <c:v>2669</c:v>
                </c:pt>
                <c:pt idx="4">
                  <c:v>3074</c:v>
                </c:pt>
              </c:numCache>
            </c:numRef>
          </c:val>
          <c:extLst>
            <c:ext xmlns:c16="http://schemas.microsoft.com/office/drawing/2014/chart" uri="{C3380CC4-5D6E-409C-BE32-E72D297353CC}">
              <c16:uniqueId val="{00000003-ADF8-4301-9A6C-E53977E89ED4}"/>
            </c:ext>
          </c:extLst>
        </c:ser>
        <c:ser>
          <c:idx val="4"/>
          <c:order val="4"/>
          <c:tx>
            <c:strRef>
              <c:f>Hoja1!$A$34</c:f>
              <c:strCache>
                <c:ptCount val="1"/>
                <c:pt idx="0">
                  <c:v>RESTO</c:v>
                </c:pt>
              </c:strCache>
            </c:strRef>
          </c:tx>
          <c:spPr>
            <a:solidFill>
              <a:schemeClr val="accent4">
                <a:lumMod val="60000"/>
              </a:schemeClr>
            </a:solidFill>
            <a:ln>
              <a:noFill/>
            </a:ln>
            <a:effectLst/>
          </c:spPr>
          <c:invertIfNegative val="0"/>
          <c:cat>
            <c:numRef>
              <c:f>Hoja1!$B$29:$F$29</c:f>
              <c:numCache>
                <c:formatCode>General</c:formatCode>
                <c:ptCount val="5"/>
                <c:pt idx="0">
                  <c:v>2020</c:v>
                </c:pt>
                <c:pt idx="1">
                  <c:v>2021</c:v>
                </c:pt>
                <c:pt idx="2">
                  <c:v>2022</c:v>
                </c:pt>
                <c:pt idx="3">
                  <c:v>2023</c:v>
                </c:pt>
                <c:pt idx="4">
                  <c:v>2024</c:v>
                </c:pt>
              </c:numCache>
            </c:numRef>
          </c:cat>
          <c:val>
            <c:numRef>
              <c:f>Hoja1!$B$34:$F$34</c:f>
              <c:numCache>
                <c:formatCode>General</c:formatCode>
                <c:ptCount val="5"/>
                <c:pt idx="0">
                  <c:v>1</c:v>
                </c:pt>
                <c:pt idx="1">
                  <c:v>0</c:v>
                </c:pt>
                <c:pt idx="2">
                  <c:v>0</c:v>
                </c:pt>
                <c:pt idx="3">
                  <c:v>0</c:v>
                </c:pt>
                <c:pt idx="4">
                  <c:v>0</c:v>
                </c:pt>
              </c:numCache>
            </c:numRef>
          </c:val>
          <c:extLst>
            <c:ext xmlns:c16="http://schemas.microsoft.com/office/drawing/2014/chart" uri="{C3380CC4-5D6E-409C-BE32-E72D297353CC}">
              <c16:uniqueId val="{00000004-ADF8-4301-9A6C-E53977E89ED4}"/>
            </c:ext>
          </c:extLst>
        </c:ser>
        <c:dLbls>
          <c:showLegendKey val="0"/>
          <c:showVal val="0"/>
          <c:showCatName val="0"/>
          <c:showSerName val="0"/>
          <c:showPercent val="0"/>
          <c:showBubbleSize val="0"/>
        </c:dLbls>
        <c:gapWidth val="219"/>
        <c:overlap val="-27"/>
        <c:axId val="1045822096"/>
        <c:axId val="1148596784"/>
      </c:barChart>
      <c:catAx>
        <c:axId val="104582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148596784"/>
        <c:crosses val="autoZero"/>
        <c:auto val="1"/>
        <c:lblAlgn val="ctr"/>
        <c:lblOffset val="100"/>
        <c:noMultiLvlLbl val="0"/>
      </c:catAx>
      <c:valAx>
        <c:axId val="1148596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04582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ES"/>
        </a:p>
      </c:txPr>
    </c:title>
    <c:autoTitleDeleted val="0"/>
    <c:plotArea>
      <c:layout/>
      <c:pieChart>
        <c:varyColors val="1"/>
        <c:ser>
          <c:idx val="0"/>
          <c:order val="0"/>
          <c:tx>
            <c:strRef>
              <c:f>Hoja1!$B$47</c:f>
              <c:strCache>
                <c:ptCount val="1"/>
                <c:pt idx="0">
                  <c:v>Turistas por pais emisor 2024</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1EF8-4501-809C-4AF4FF65846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1EF8-4501-809C-4AF4FF65846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1EF8-4501-809C-4AF4FF658463}"/>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7-1EF8-4501-809C-4AF4FF658463}"/>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9-1EF8-4501-809C-4AF4FF6584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Hoja1!$A$48:$A$52</c:f>
              <c:strCache>
                <c:ptCount val="5"/>
                <c:pt idx="0">
                  <c:v>Alemania</c:v>
                </c:pt>
                <c:pt idx="1">
                  <c:v>Reino  Unido</c:v>
                </c:pt>
                <c:pt idx="2">
                  <c:v>Mercado nacional</c:v>
                </c:pt>
                <c:pt idx="3">
                  <c:v>Francia</c:v>
                </c:pt>
                <c:pt idx="4">
                  <c:v>Italia</c:v>
                </c:pt>
              </c:strCache>
            </c:strRef>
          </c:cat>
          <c:val>
            <c:numRef>
              <c:f>Hoja1!$B$48:$B$52</c:f>
              <c:numCache>
                <c:formatCode>General</c:formatCode>
                <c:ptCount val="5"/>
                <c:pt idx="0">
                  <c:v>801497</c:v>
                </c:pt>
                <c:pt idx="1">
                  <c:v>784691</c:v>
                </c:pt>
                <c:pt idx="2">
                  <c:v>931542</c:v>
                </c:pt>
                <c:pt idx="3">
                  <c:v>132596</c:v>
                </c:pt>
                <c:pt idx="4">
                  <c:v>143820</c:v>
                </c:pt>
              </c:numCache>
            </c:numRef>
          </c:val>
          <c:extLst>
            <c:ext xmlns:c16="http://schemas.microsoft.com/office/drawing/2014/chart" uri="{C3380CC4-5D6E-409C-BE32-E72D297353CC}">
              <c16:uniqueId val="{0000000A-1EF8-4501-809C-4AF4FF658463}"/>
            </c:ext>
          </c:extLst>
        </c:ser>
        <c:ser>
          <c:idx val="1"/>
          <c:order val="1"/>
          <c:tx>
            <c:strRef>
              <c:f>Hoja1!$C$47</c:f>
              <c:strCache>
                <c:ptCount val="1"/>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C-1EF8-4501-809C-4AF4FF65846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E-1EF8-4501-809C-4AF4FF65846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10-1EF8-4501-809C-4AF4FF658463}"/>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2-1EF8-4501-809C-4AF4FF658463}"/>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4-1EF8-4501-809C-4AF4FF6584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Hoja1!$A$48:$A$52</c:f>
              <c:strCache>
                <c:ptCount val="5"/>
                <c:pt idx="0">
                  <c:v>Alemania</c:v>
                </c:pt>
                <c:pt idx="1">
                  <c:v>Reino  Unido</c:v>
                </c:pt>
                <c:pt idx="2">
                  <c:v>Mercado nacional</c:v>
                </c:pt>
                <c:pt idx="3">
                  <c:v>Francia</c:v>
                </c:pt>
                <c:pt idx="4">
                  <c:v>Italia</c:v>
                </c:pt>
              </c:strCache>
            </c:strRef>
          </c:cat>
          <c:val>
            <c:numRef>
              <c:f>Hoja1!$C$48:$C$52</c:f>
              <c:numCache>
                <c:formatCode>General</c:formatCode>
                <c:ptCount val="5"/>
              </c:numCache>
            </c:numRef>
          </c:val>
          <c:extLst>
            <c:ext xmlns:c16="http://schemas.microsoft.com/office/drawing/2014/chart" uri="{C3380CC4-5D6E-409C-BE32-E72D297353CC}">
              <c16:uniqueId val="{00000015-1EF8-4501-809C-4AF4FF658463}"/>
            </c:ext>
          </c:extLst>
        </c:ser>
        <c:ser>
          <c:idx val="2"/>
          <c:order val="2"/>
          <c:tx>
            <c:strRef>
              <c:f>Hoja1!$D$47</c:f>
              <c:strCache>
                <c:ptCount val="1"/>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17-1EF8-4501-809C-4AF4FF65846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19-1EF8-4501-809C-4AF4FF65846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1B-1EF8-4501-809C-4AF4FF658463}"/>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D-1EF8-4501-809C-4AF4FF658463}"/>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F-1EF8-4501-809C-4AF4FF65846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Hoja1!$A$48:$A$52</c:f>
              <c:strCache>
                <c:ptCount val="5"/>
                <c:pt idx="0">
                  <c:v>Alemania</c:v>
                </c:pt>
                <c:pt idx="1">
                  <c:v>Reino  Unido</c:v>
                </c:pt>
                <c:pt idx="2">
                  <c:v>Mercado nacional</c:v>
                </c:pt>
                <c:pt idx="3">
                  <c:v>Francia</c:v>
                </c:pt>
                <c:pt idx="4">
                  <c:v>Italia</c:v>
                </c:pt>
              </c:strCache>
            </c:strRef>
          </c:cat>
          <c:val>
            <c:numRef>
              <c:f>Hoja1!$D$48:$D$52</c:f>
              <c:numCache>
                <c:formatCode>General</c:formatCode>
                <c:ptCount val="5"/>
              </c:numCache>
            </c:numRef>
          </c:val>
          <c:extLst>
            <c:ext xmlns:c16="http://schemas.microsoft.com/office/drawing/2014/chart" uri="{C3380CC4-5D6E-409C-BE32-E72D297353CC}">
              <c16:uniqueId val="{00000020-1EF8-4501-809C-4AF4FF65846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1506</Words>
  <Characters>8287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Esturillo Cano</dc:creator>
  <cp:keywords/>
  <dc:description/>
  <cp:lastModifiedBy>Javier Esturillo Cano</cp:lastModifiedBy>
  <cp:revision>8</cp:revision>
  <dcterms:created xsi:type="dcterms:W3CDTF">2025-11-04T09:25:00Z</dcterms:created>
  <dcterms:modified xsi:type="dcterms:W3CDTF">2025-11-05T13:08:00Z</dcterms:modified>
</cp:coreProperties>
</file>